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9E56" w14:textId="32699FA9" w:rsidR="00F10245" w:rsidRPr="007534AA" w:rsidRDefault="002F63A9" w:rsidP="005C0CA0">
      <w:pPr>
        <w:jc w:val="center"/>
        <w:rPr>
          <w:rFonts w:eastAsia="Calibri" w:cstheme="minorHAnsi"/>
        </w:rPr>
      </w:pPr>
      <w:r>
        <w:rPr>
          <w:rFonts w:cstheme="minorHAnsi"/>
          <w:b/>
          <w:bCs/>
        </w:rPr>
        <w:t xml:space="preserve">Customizable </w:t>
      </w:r>
      <w:r w:rsidR="00AB16A3" w:rsidRPr="007534AA">
        <w:rPr>
          <w:rFonts w:cstheme="minorHAnsi"/>
          <w:b/>
          <w:bCs/>
        </w:rPr>
        <w:t xml:space="preserve">Talking Points </w:t>
      </w:r>
      <w:r w:rsidR="16BAFED1" w:rsidRPr="007534AA">
        <w:rPr>
          <w:rFonts w:cstheme="minorHAnsi"/>
          <w:b/>
          <w:bCs/>
        </w:rPr>
        <w:t>on Pouring Rights Contracts</w:t>
      </w:r>
      <w:r w:rsidR="00C37E9F">
        <w:rPr>
          <w:rFonts w:cstheme="minorHAnsi"/>
          <w:b/>
          <w:bCs/>
        </w:rPr>
        <w:t xml:space="preserve"> for Student Advocates</w:t>
      </w:r>
    </w:p>
    <w:p w14:paraId="2B897F5B" w14:textId="09A69097" w:rsidR="00AB16A3" w:rsidRPr="007534AA" w:rsidRDefault="00AB16A3">
      <w:pPr>
        <w:rPr>
          <w:rFonts w:cstheme="minorHAnsi"/>
        </w:rPr>
      </w:pPr>
      <w:r w:rsidRPr="007534AA">
        <w:rPr>
          <w:rFonts w:cstheme="minorHAnsi"/>
          <w:b/>
          <w:bCs/>
        </w:rPr>
        <w:t>What is a pouring rights contract?</w:t>
      </w:r>
    </w:p>
    <w:p w14:paraId="5495F233" w14:textId="2BF56151" w:rsidR="00AB16A3" w:rsidRPr="007534AA" w:rsidRDefault="001B1EF7" w:rsidP="0D4FA303">
      <w:pPr>
        <w:pStyle w:val="NormalWeb"/>
        <w:shd w:val="clear" w:color="auto" w:fill="FFFFFF" w:themeFill="background1"/>
        <w:spacing w:before="160" w:beforeAutospacing="0" w:after="160" w:afterAutospacing="0"/>
        <w:rPr>
          <w:rFonts w:asciiTheme="minorHAnsi" w:hAnsiTheme="minorHAnsi" w:cstheme="minorBidi"/>
          <w:sz w:val="22"/>
          <w:szCs w:val="22"/>
        </w:rPr>
      </w:pPr>
      <w:r w:rsidRPr="0D4FA303">
        <w:rPr>
          <w:rFonts w:asciiTheme="minorHAnsi" w:hAnsiTheme="minorHAnsi" w:cstheme="minorBidi"/>
          <w:sz w:val="22"/>
          <w:szCs w:val="22"/>
        </w:rPr>
        <w:t>“Pouring rights” contracts give a beverage company</w:t>
      </w:r>
      <w:r w:rsidR="000F06B1">
        <w:rPr>
          <w:rFonts w:asciiTheme="minorHAnsi" w:hAnsiTheme="minorHAnsi" w:cstheme="minorBidi"/>
          <w:sz w:val="22"/>
          <w:szCs w:val="22"/>
        </w:rPr>
        <w:t xml:space="preserve">—primarily The Coca-Cola Company (Coca-Cola) or PepsiCo—exclusive </w:t>
      </w:r>
      <w:r w:rsidRPr="0D4FA303">
        <w:rPr>
          <w:rFonts w:asciiTheme="minorHAnsi" w:hAnsiTheme="minorHAnsi" w:cstheme="minorBidi"/>
          <w:sz w:val="22"/>
          <w:szCs w:val="22"/>
        </w:rPr>
        <w:t xml:space="preserve">rights to sell and market beverages on a university’s campus. </w:t>
      </w:r>
      <w:r w:rsidR="00AB16A3" w:rsidRPr="0D4FA303">
        <w:rPr>
          <w:rFonts w:asciiTheme="minorHAnsi" w:hAnsiTheme="minorHAnsi" w:cstheme="minorBidi"/>
          <w:color w:val="000000" w:themeColor="text1"/>
          <w:sz w:val="22"/>
          <w:szCs w:val="22"/>
        </w:rPr>
        <w:t>[OUR SCHOOL] has a contract with [PEPSI/COKE] that expires in [YEAR].</w:t>
      </w:r>
    </w:p>
    <w:p w14:paraId="30C06857" w14:textId="77777777" w:rsidR="001B1EF7" w:rsidRPr="007534AA" w:rsidRDefault="001B1EF7" w:rsidP="16BAFED1">
      <w:pPr>
        <w:spacing w:after="0"/>
        <w:rPr>
          <w:rFonts w:cstheme="minorHAnsi"/>
        </w:rPr>
      </w:pPr>
    </w:p>
    <w:p w14:paraId="406C1D2B" w14:textId="0692DFA0" w:rsidR="001B1EF7" w:rsidRPr="007534AA" w:rsidRDefault="001B1EF7" w:rsidP="001B1EF7">
      <w:pPr>
        <w:rPr>
          <w:rStyle w:val="normaltextrun"/>
          <w:rFonts w:cstheme="minorHAnsi"/>
          <w:color w:val="2F4C6E"/>
          <w:position w:val="3"/>
          <w:bdr w:val="none" w:sz="0" w:space="0" w:color="auto" w:frame="1"/>
        </w:rPr>
      </w:pPr>
      <w:r w:rsidRPr="007534AA">
        <w:rPr>
          <w:rFonts w:cstheme="minorHAnsi"/>
          <w:b/>
          <w:bCs/>
        </w:rPr>
        <w:t xml:space="preserve">[OUR SCHOOL]’s pouring rights contract [list all that </w:t>
      </w:r>
      <w:proofErr w:type="gramStart"/>
      <w:r w:rsidRPr="007534AA">
        <w:rPr>
          <w:rFonts w:cstheme="minorHAnsi"/>
          <w:b/>
          <w:bCs/>
        </w:rPr>
        <w:t>apply]…</w:t>
      </w:r>
      <w:proofErr w:type="gramEnd"/>
      <w:r w:rsidRPr="007534AA">
        <w:rPr>
          <w:rStyle w:val="FootnoteReference"/>
          <w:rFonts w:cstheme="minorHAnsi"/>
        </w:rPr>
        <w:t xml:space="preserve"> </w:t>
      </w:r>
    </w:p>
    <w:p w14:paraId="0EA7CF85" w14:textId="7F426188" w:rsidR="001B1EF7" w:rsidRPr="007534AA" w:rsidRDefault="001B1EF7" w:rsidP="001B1EF7">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7534AA">
        <w:rPr>
          <w:rStyle w:val="normaltextrun"/>
          <w:rFonts w:asciiTheme="minorHAnsi" w:hAnsiTheme="minorHAnsi" w:cstheme="minorHAnsi"/>
          <w:color w:val="000000"/>
          <w:position w:val="1"/>
          <w:sz w:val="22"/>
          <w:szCs w:val="22"/>
        </w:rPr>
        <w:t xml:space="preserve">Gives Coca-Cola or Pepsi the exclusive rights to sell and market beverages on </w:t>
      </w:r>
      <w:proofErr w:type="gramStart"/>
      <w:r w:rsidRPr="007534AA">
        <w:rPr>
          <w:rStyle w:val="normaltextrun"/>
          <w:rFonts w:asciiTheme="minorHAnsi" w:hAnsiTheme="minorHAnsi" w:cstheme="minorHAnsi"/>
          <w:color w:val="000000"/>
          <w:position w:val="1"/>
          <w:sz w:val="22"/>
          <w:szCs w:val="22"/>
        </w:rPr>
        <w:t>campus</w:t>
      </w:r>
      <w:r w:rsidRPr="007534AA">
        <w:rPr>
          <w:rStyle w:val="eop"/>
          <w:rFonts w:asciiTheme="minorHAnsi" w:hAnsiTheme="minorHAnsi" w:cstheme="minorHAnsi"/>
          <w:sz w:val="22"/>
          <w:szCs w:val="22"/>
        </w:rPr>
        <w:t>​;</w:t>
      </w:r>
      <w:proofErr w:type="gramEnd"/>
    </w:p>
    <w:p w14:paraId="56D0CD13" w14:textId="5B91E2F2" w:rsidR="001B1EF7" w:rsidRPr="007534AA" w:rsidRDefault="001B1EF7" w:rsidP="2F7141D4">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7534AA">
        <w:rPr>
          <w:rStyle w:val="normaltextrun"/>
          <w:rFonts w:asciiTheme="minorHAnsi" w:hAnsiTheme="minorHAnsi" w:cstheme="minorHAnsi"/>
          <w:color w:val="000000"/>
          <w:position w:val="1"/>
          <w:sz w:val="22"/>
          <w:szCs w:val="22"/>
        </w:rPr>
        <w:t xml:space="preserve">Includes annual payments from the company to the </w:t>
      </w:r>
      <w:proofErr w:type="gramStart"/>
      <w:r w:rsidRPr="007534AA">
        <w:rPr>
          <w:rStyle w:val="normaltextrun"/>
          <w:rFonts w:asciiTheme="minorHAnsi" w:hAnsiTheme="minorHAnsi" w:cstheme="minorHAnsi"/>
          <w:color w:val="000000"/>
          <w:position w:val="1"/>
          <w:sz w:val="22"/>
          <w:szCs w:val="22"/>
        </w:rPr>
        <w:t>university;</w:t>
      </w:r>
      <w:proofErr w:type="gramEnd"/>
      <w:r w:rsidRPr="007534AA">
        <w:rPr>
          <w:rStyle w:val="eop"/>
          <w:rFonts w:asciiTheme="minorHAnsi" w:hAnsiTheme="minorHAnsi" w:cstheme="minorHAnsi"/>
          <w:sz w:val="22"/>
          <w:szCs w:val="22"/>
        </w:rPr>
        <w:t>​</w:t>
      </w:r>
    </w:p>
    <w:p w14:paraId="23582EBE" w14:textId="7F851ABC" w:rsidR="001B1EF7" w:rsidRPr="007534AA" w:rsidRDefault="001B1EF7" w:rsidP="16BAFED1">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7534AA">
        <w:rPr>
          <w:rStyle w:val="normaltextrun"/>
          <w:rFonts w:asciiTheme="minorHAnsi" w:hAnsiTheme="minorHAnsi" w:cstheme="minorHAnsi"/>
          <w:sz w:val="22"/>
          <w:szCs w:val="22"/>
        </w:rPr>
        <w:t xml:space="preserve">Incentivizes the university to maximize sales through commissions, rebates, volume incentives, and volume </w:t>
      </w:r>
      <w:proofErr w:type="gramStart"/>
      <w:r w:rsidRPr="007534AA">
        <w:rPr>
          <w:rStyle w:val="normaltextrun"/>
          <w:rFonts w:asciiTheme="minorHAnsi" w:hAnsiTheme="minorHAnsi" w:cstheme="minorHAnsi"/>
          <w:sz w:val="22"/>
          <w:szCs w:val="22"/>
        </w:rPr>
        <w:t>minimums;</w:t>
      </w:r>
      <w:proofErr w:type="gramEnd"/>
    </w:p>
    <w:p w14:paraId="0905E487" w14:textId="732E84D9" w:rsidR="001B1EF7" w:rsidRPr="007534AA" w:rsidRDefault="001B1EF7" w:rsidP="001B1EF7">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7534AA">
        <w:rPr>
          <w:rStyle w:val="normaltextrun"/>
          <w:rFonts w:asciiTheme="minorHAnsi" w:hAnsiTheme="minorHAnsi" w:cstheme="minorHAnsi"/>
          <w:color w:val="000000"/>
          <w:position w:val="1"/>
          <w:sz w:val="22"/>
          <w:szCs w:val="22"/>
        </w:rPr>
        <w:t xml:space="preserve">Establishes marketing and co-branding </w:t>
      </w:r>
      <w:proofErr w:type="gramStart"/>
      <w:r w:rsidRPr="007534AA">
        <w:rPr>
          <w:rStyle w:val="normaltextrun"/>
          <w:rFonts w:asciiTheme="minorHAnsi" w:hAnsiTheme="minorHAnsi" w:cstheme="minorHAnsi"/>
          <w:color w:val="000000"/>
          <w:position w:val="1"/>
          <w:sz w:val="22"/>
          <w:szCs w:val="22"/>
        </w:rPr>
        <w:t>opportunities;</w:t>
      </w:r>
      <w:proofErr w:type="gramEnd"/>
    </w:p>
    <w:p w14:paraId="421CB6AE" w14:textId="5AAB676D" w:rsidR="001B1EF7" w:rsidRPr="007534AA" w:rsidRDefault="001B1EF7" w:rsidP="001B1EF7">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7534AA">
        <w:rPr>
          <w:rStyle w:val="normaltextrun"/>
          <w:rFonts w:asciiTheme="minorHAnsi" w:hAnsiTheme="minorHAnsi" w:cstheme="minorHAnsi"/>
          <w:color w:val="000000"/>
          <w:position w:val="1"/>
          <w:sz w:val="22"/>
          <w:szCs w:val="22"/>
        </w:rPr>
        <w:t>Donates athletics, dining, and recycling equipment (branded with company logo</w:t>
      </w:r>
      <w:proofErr w:type="gramStart"/>
      <w:r w:rsidRPr="007534AA">
        <w:rPr>
          <w:rStyle w:val="normaltextrun"/>
          <w:rFonts w:asciiTheme="minorHAnsi" w:hAnsiTheme="minorHAnsi" w:cstheme="minorHAnsi"/>
          <w:color w:val="000000"/>
          <w:position w:val="1"/>
          <w:sz w:val="22"/>
          <w:szCs w:val="22"/>
        </w:rPr>
        <w:t>)</w:t>
      </w:r>
      <w:r w:rsidRPr="007534AA">
        <w:rPr>
          <w:rStyle w:val="eop"/>
          <w:rFonts w:asciiTheme="minorHAnsi" w:hAnsiTheme="minorHAnsi" w:cstheme="minorHAnsi"/>
          <w:sz w:val="22"/>
          <w:szCs w:val="22"/>
        </w:rPr>
        <w:t>​;</w:t>
      </w:r>
      <w:proofErr w:type="gramEnd"/>
    </w:p>
    <w:p w14:paraId="62990E6C" w14:textId="786441ED" w:rsidR="001B1EF7" w:rsidRPr="007534AA" w:rsidRDefault="001B1EF7" w:rsidP="0D4FA303">
      <w:pPr>
        <w:pStyle w:val="paragraph"/>
        <w:numPr>
          <w:ilvl w:val="0"/>
          <w:numId w:val="2"/>
        </w:numPr>
        <w:spacing w:before="0" w:beforeAutospacing="0" w:after="0" w:afterAutospacing="0"/>
        <w:textAlignment w:val="baseline"/>
        <w:rPr>
          <w:rFonts w:asciiTheme="minorHAnsi" w:hAnsiTheme="minorHAnsi" w:cstheme="minorBidi"/>
          <w:sz w:val="22"/>
          <w:szCs w:val="22"/>
        </w:rPr>
      </w:pPr>
      <w:r w:rsidRPr="0D4FA303">
        <w:rPr>
          <w:rStyle w:val="normaltextrun"/>
          <w:rFonts w:asciiTheme="minorHAnsi" w:hAnsiTheme="minorHAnsi" w:cstheme="minorBidi"/>
          <w:color w:val="000000"/>
          <w:position w:val="1"/>
          <w:sz w:val="22"/>
          <w:szCs w:val="22"/>
        </w:rPr>
        <w:t>Makes Coke or Pepsi the “Official Soft Drink” of the university</w:t>
      </w:r>
      <w:r w:rsidRPr="0D4FA303">
        <w:rPr>
          <w:rStyle w:val="eop"/>
          <w:rFonts w:asciiTheme="minorHAnsi" w:hAnsiTheme="minorHAnsi" w:cstheme="minorBidi"/>
          <w:sz w:val="22"/>
          <w:szCs w:val="22"/>
        </w:rPr>
        <w:t xml:space="preserve">​ and/or university </w:t>
      </w:r>
      <w:proofErr w:type="gramStart"/>
      <w:r w:rsidRPr="0D4FA303">
        <w:rPr>
          <w:rStyle w:val="eop"/>
          <w:rFonts w:asciiTheme="minorHAnsi" w:hAnsiTheme="minorHAnsi" w:cstheme="minorBidi"/>
          <w:sz w:val="22"/>
          <w:szCs w:val="22"/>
        </w:rPr>
        <w:t>athletics;</w:t>
      </w:r>
      <w:proofErr w:type="gramEnd"/>
    </w:p>
    <w:p w14:paraId="24CB1D94" w14:textId="39730147" w:rsidR="001B1EF7" w:rsidRPr="007534AA" w:rsidRDefault="001B1EF7" w:rsidP="001B1EF7">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7534AA">
        <w:rPr>
          <w:rStyle w:val="normaltextrun"/>
          <w:rFonts w:asciiTheme="minorHAnsi" w:hAnsiTheme="minorHAnsi" w:cstheme="minorHAnsi"/>
          <w:color w:val="000000"/>
          <w:position w:val="1"/>
          <w:sz w:val="22"/>
          <w:szCs w:val="22"/>
        </w:rPr>
        <w:t xml:space="preserve">Establishes campus brand </w:t>
      </w:r>
      <w:proofErr w:type="gramStart"/>
      <w:r w:rsidRPr="007534AA">
        <w:rPr>
          <w:rStyle w:val="normaltextrun"/>
          <w:rFonts w:asciiTheme="minorHAnsi" w:hAnsiTheme="minorHAnsi" w:cstheme="minorHAnsi"/>
          <w:color w:val="000000"/>
          <w:position w:val="1"/>
          <w:sz w:val="22"/>
          <w:szCs w:val="22"/>
        </w:rPr>
        <w:t>ambassadors</w:t>
      </w:r>
      <w:r w:rsidRPr="007534AA">
        <w:rPr>
          <w:rStyle w:val="eop"/>
          <w:rFonts w:asciiTheme="minorHAnsi" w:hAnsiTheme="minorHAnsi" w:cstheme="minorHAnsi"/>
          <w:sz w:val="22"/>
          <w:szCs w:val="22"/>
        </w:rPr>
        <w:t>​;</w:t>
      </w:r>
      <w:proofErr w:type="gramEnd"/>
    </w:p>
    <w:p w14:paraId="1F3A702A" w14:textId="0C04CA14" w:rsidR="001B1EF7" w:rsidRPr="007534AA" w:rsidRDefault="001B1EF7" w:rsidP="001B1EF7">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7534AA">
        <w:rPr>
          <w:rStyle w:val="normaltextrun"/>
          <w:rFonts w:asciiTheme="minorHAnsi" w:hAnsiTheme="minorHAnsi" w:cstheme="minorHAnsi"/>
          <w:color w:val="000000"/>
          <w:position w:val="1"/>
          <w:sz w:val="22"/>
          <w:szCs w:val="22"/>
        </w:rPr>
        <w:t>Includes a company commitment to spend a minimum amount towards on-campus advertising</w:t>
      </w:r>
      <w:r w:rsidRPr="007534AA">
        <w:rPr>
          <w:rStyle w:val="eop"/>
          <w:rFonts w:asciiTheme="minorHAnsi" w:hAnsiTheme="minorHAnsi" w:cstheme="minorHAnsi"/>
          <w:sz w:val="22"/>
          <w:szCs w:val="22"/>
        </w:rPr>
        <w:t>​; and/or</w:t>
      </w:r>
    </w:p>
    <w:p w14:paraId="1FEDB3FB" w14:textId="7122663B" w:rsidR="001B1EF7" w:rsidRPr="007534AA" w:rsidRDefault="001B1EF7" w:rsidP="001B1EF7">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7534AA">
        <w:rPr>
          <w:rStyle w:val="normaltextrun"/>
          <w:rFonts w:asciiTheme="minorHAnsi" w:hAnsiTheme="minorHAnsi" w:cstheme="minorHAnsi"/>
          <w:color w:val="000000"/>
          <w:position w:val="1"/>
          <w:sz w:val="22"/>
          <w:szCs w:val="22"/>
        </w:rPr>
        <w:t>Includes university commitments to provide free event tickets, TV/radio/print advertising spots, etc.</w:t>
      </w:r>
    </w:p>
    <w:p w14:paraId="4FB8D3F4" w14:textId="00A80E7D" w:rsidR="001B1EF7" w:rsidRPr="007534AA" w:rsidRDefault="001B1EF7" w:rsidP="001B1EF7">
      <w:pPr>
        <w:pStyle w:val="paragraph"/>
        <w:spacing w:before="0" w:beforeAutospacing="0" w:after="0" w:afterAutospacing="0"/>
        <w:textAlignment w:val="baseline"/>
        <w:rPr>
          <w:rStyle w:val="normaltextrun"/>
          <w:rFonts w:asciiTheme="minorHAnsi" w:hAnsiTheme="minorHAnsi" w:cstheme="minorHAnsi"/>
          <w:color w:val="000000"/>
          <w:position w:val="1"/>
          <w:sz w:val="22"/>
          <w:szCs w:val="22"/>
        </w:rPr>
      </w:pPr>
    </w:p>
    <w:p w14:paraId="4A407287" w14:textId="620F8C1E" w:rsidR="001B1EF7" w:rsidRPr="007534AA" w:rsidRDefault="00B003A6" w:rsidP="072DA6D2">
      <w:pPr>
        <w:pStyle w:val="paragraph"/>
        <w:spacing w:before="0" w:beforeAutospacing="0" w:after="0" w:afterAutospacing="0"/>
        <w:textAlignment w:val="baseline"/>
        <w:rPr>
          <w:rStyle w:val="normaltextrun"/>
          <w:rFonts w:asciiTheme="minorHAnsi" w:hAnsiTheme="minorHAnsi" w:cstheme="minorHAnsi"/>
          <w:b/>
          <w:bCs/>
          <w:sz w:val="22"/>
          <w:szCs w:val="22"/>
        </w:rPr>
      </w:pPr>
      <w:r w:rsidRPr="007534AA">
        <w:rPr>
          <w:rStyle w:val="normaltextrun"/>
          <w:rFonts w:asciiTheme="minorHAnsi" w:hAnsiTheme="minorHAnsi" w:cstheme="minorHAnsi"/>
          <w:b/>
          <w:bCs/>
          <w:sz w:val="22"/>
          <w:szCs w:val="22"/>
        </w:rPr>
        <w:t>Why should I care?</w:t>
      </w:r>
    </w:p>
    <w:p w14:paraId="370DBCCD" w14:textId="2D2B7133" w:rsidR="0032651D" w:rsidRPr="007534AA" w:rsidRDefault="0032651D" w:rsidP="0032651D">
      <w:pPr>
        <w:spacing w:after="0" w:line="240" w:lineRule="auto"/>
        <w:textAlignment w:val="baseline"/>
        <w:rPr>
          <w:rFonts w:eastAsia="Times New Roman" w:cstheme="minorHAnsi"/>
        </w:rPr>
      </w:pPr>
      <w:r w:rsidRPr="007534AA">
        <w:rPr>
          <w:rFonts w:eastAsia="Times New Roman" w:cstheme="minorHAnsi"/>
        </w:rPr>
        <w:t xml:space="preserve">Students </w:t>
      </w:r>
      <w:r w:rsidR="00D33CEC" w:rsidRPr="007534AA">
        <w:rPr>
          <w:rFonts w:eastAsia="Times New Roman" w:cstheme="minorHAnsi"/>
        </w:rPr>
        <w:t>are paying for</w:t>
      </w:r>
      <w:r w:rsidRPr="007534AA">
        <w:rPr>
          <w:rFonts w:eastAsia="Times New Roman" w:cstheme="minorHAnsi"/>
        </w:rPr>
        <w:t xml:space="preserve"> a high-quality, public education—it should be free from corporate influence. The pouring rights contract effectively makes the university a corporate partner in the sale of sugary drinks and of beverages in single-use containers, despite their negative health and environmental impacts. Instead of making the healthy choice the easy choice, [OUR SCHOOL] is creating</w:t>
      </w:r>
      <w:r w:rsidR="00D33CEC" w:rsidRPr="007534AA">
        <w:rPr>
          <w:rFonts w:eastAsia="Times New Roman" w:cstheme="minorHAnsi"/>
        </w:rPr>
        <w:t xml:space="preserve"> a</w:t>
      </w:r>
      <w:r w:rsidRPr="007534AA">
        <w:rPr>
          <w:rFonts w:eastAsia="Times New Roman" w:cstheme="minorHAnsi"/>
        </w:rPr>
        <w:t xml:space="preserve"> campus food environment that puts our health at risk and interferes with waste reduction efforts. </w:t>
      </w:r>
    </w:p>
    <w:p w14:paraId="775746E3" w14:textId="37838893" w:rsidR="00B003A6" w:rsidRPr="007534AA" w:rsidRDefault="00B003A6" w:rsidP="001B1EF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D8524D1" w14:textId="0EE9DA58" w:rsidR="00D33CEC" w:rsidRPr="007534AA" w:rsidRDefault="00D33CEC" w:rsidP="00D33CEC">
      <w:pPr>
        <w:spacing w:after="0" w:line="240" w:lineRule="auto"/>
        <w:textAlignment w:val="baseline"/>
        <w:rPr>
          <w:rFonts w:eastAsia="Times New Roman" w:cstheme="minorHAnsi"/>
        </w:rPr>
      </w:pPr>
      <w:r w:rsidRPr="007534AA">
        <w:rPr>
          <w:rFonts w:eastAsia="Times New Roman" w:cstheme="minorHAnsi"/>
        </w:rPr>
        <w:t xml:space="preserve">Contracts </w:t>
      </w:r>
      <w:r w:rsidRPr="007534AA">
        <w:rPr>
          <w:rFonts w:cstheme="minorHAnsi"/>
        </w:rPr>
        <w:t xml:space="preserve">are typically arranged through campus procurement, corporate relations, athletics, and dining departments, without consulting health or sustainability experts, students, or faculty—in other words, without transparency and shared governance. Those who are directly impacted should get a say in major campus food and beverage procurement decisions. </w:t>
      </w:r>
    </w:p>
    <w:p w14:paraId="4C1B4725" w14:textId="77777777" w:rsidR="00D33CEC" w:rsidRPr="007534AA" w:rsidRDefault="00D33CEC" w:rsidP="001B1EF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C445BAD" w14:textId="77777777" w:rsidR="008241F7" w:rsidRPr="007534AA" w:rsidRDefault="008241F7" w:rsidP="008241F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534AA">
        <w:rPr>
          <w:rStyle w:val="normaltextrun"/>
          <w:rFonts w:asciiTheme="minorHAnsi" w:hAnsiTheme="minorHAnsi" w:cstheme="minorHAnsi"/>
          <w:b/>
          <w:bCs/>
          <w:sz w:val="22"/>
          <w:szCs w:val="22"/>
        </w:rPr>
        <w:t>College students are adults. Shouldn’t they be responsible for their own food and beverage choices?</w:t>
      </w:r>
    </w:p>
    <w:p w14:paraId="157DFD7A" w14:textId="77777777" w:rsidR="008241F7" w:rsidRPr="007534AA" w:rsidRDefault="008241F7" w:rsidP="008241F7">
      <w:pPr>
        <w:spacing w:after="0"/>
        <w:rPr>
          <w:rStyle w:val="normaltextrun"/>
          <w:rFonts w:cstheme="minorHAnsi"/>
        </w:rPr>
      </w:pPr>
    </w:p>
    <w:p w14:paraId="1D71EE17" w14:textId="3FFB3FC2" w:rsidR="008241F7" w:rsidRPr="007534AA" w:rsidRDefault="008241F7" w:rsidP="7C3F1F9A">
      <w:pPr>
        <w:spacing w:after="0"/>
      </w:pPr>
      <w:r w:rsidRPr="7C3F1F9A">
        <w:rPr>
          <w:rStyle w:val="normaltextrun"/>
        </w:rPr>
        <w:t>For many of us, college represents the first time we are regularly making food and beverage choices for ourselves.</w:t>
      </w:r>
      <w:r w:rsidRPr="7C3F1F9A">
        <w:rPr>
          <w:rStyle w:val="eop"/>
        </w:rPr>
        <w:t xml:space="preserve"> </w:t>
      </w:r>
      <w:r w:rsidRPr="7C3F1F9A">
        <w:rPr>
          <w:rStyle w:val="Hyperlink"/>
          <w:color w:val="auto"/>
          <w:u w:val="none"/>
        </w:rPr>
        <w:t xml:space="preserve">The habits we develop now can either promote health or put us at risk for chronic diseases. Universities play a significant role in shaping our eating habits, as they provide most of the food and beverages students consume while living on campus. University food venues are often the most convenient options for faculty and staff on campus, as well. </w:t>
      </w:r>
      <w:r w:rsidRPr="7C3F1F9A">
        <w:t xml:space="preserve">We can only choose from what’s available. With a pouring rights contract, what’s available is limited to [COKE/PEPSI] products, which are marketed everywhere on campus to reinforce that brand loyalty. </w:t>
      </w:r>
    </w:p>
    <w:p w14:paraId="02062AF0" w14:textId="77777777" w:rsidR="000F7385" w:rsidRDefault="000F7385">
      <w:pPr>
        <w:rPr>
          <w:rStyle w:val="normaltextrun"/>
          <w:rFonts w:eastAsia="Times New Roman" w:cstheme="minorHAnsi"/>
          <w:b/>
          <w:bCs/>
        </w:rPr>
      </w:pPr>
      <w:r>
        <w:rPr>
          <w:rStyle w:val="normaltextrun"/>
          <w:rFonts w:cstheme="minorHAnsi"/>
          <w:b/>
          <w:bCs/>
        </w:rPr>
        <w:br w:type="page"/>
      </w:r>
    </w:p>
    <w:p w14:paraId="4C05B8C1" w14:textId="3F1ACBB8" w:rsidR="00BB43D9" w:rsidRDefault="00D56DE0" w:rsidP="2F7141D4">
      <w:pPr>
        <w:pStyle w:val="paragraph"/>
        <w:spacing w:before="0" w:beforeAutospacing="0" w:after="0" w:afterAutospacing="0"/>
        <w:textAlignment w:val="baseline"/>
        <w:rPr>
          <w:rStyle w:val="normaltextrun"/>
          <w:rFonts w:asciiTheme="minorHAnsi" w:hAnsiTheme="minorHAnsi" w:cstheme="minorHAnsi"/>
          <w:sz w:val="22"/>
          <w:szCs w:val="22"/>
        </w:rPr>
      </w:pPr>
      <w:r w:rsidRPr="007534AA">
        <w:rPr>
          <w:rStyle w:val="normaltextrun"/>
          <w:rFonts w:asciiTheme="minorHAnsi" w:hAnsiTheme="minorHAnsi" w:cstheme="minorHAnsi"/>
          <w:b/>
          <w:bCs/>
          <w:sz w:val="22"/>
          <w:szCs w:val="22"/>
        </w:rPr>
        <w:lastRenderedPageBreak/>
        <w:t xml:space="preserve">What </w:t>
      </w:r>
      <w:r w:rsidR="005C4DD0" w:rsidRPr="007534AA">
        <w:rPr>
          <w:rStyle w:val="normaltextrun"/>
          <w:rFonts w:asciiTheme="minorHAnsi" w:hAnsiTheme="minorHAnsi" w:cstheme="minorHAnsi"/>
          <w:b/>
          <w:bCs/>
          <w:sz w:val="22"/>
          <w:szCs w:val="22"/>
        </w:rPr>
        <w:t>are the health impacts of sugary drinks?</w:t>
      </w:r>
    </w:p>
    <w:p w14:paraId="2BE80582" w14:textId="197471DC" w:rsidR="005C4DD0" w:rsidRPr="00AA6724" w:rsidRDefault="00ED3C64" w:rsidP="6A958BFA">
      <w:pPr>
        <w:pStyle w:val="paragraph"/>
        <w:spacing w:before="0" w:beforeAutospacing="0" w:after="0" w:afterAutospacing="0"/>
        <w:textAlignment w:val="baseline"/>
        <w:rPr>
          <w:rStyle w:val="normaltextrun"/>
          <w:rFonts w:asciiTheme="minorHAnsi" w:hAnsiTheme="minorHAnsi" w:cstheme="minorBidi"/>
          <w:sz w:val="22"/>
          <w:szCs w:val="22"/>
        </w:rPr>
      </w:pPr>
      <w:r w:rsidRPr="6A958BFA">
        <w:rPr>
          <w:rStyle w:val="normaltextrun"/>
          <w:rFonts w:asciiTheme="minorHAnsi" w:hAnsiTheme="minorHAnsi" w:cstheme="minorBidi"/>
          <w:sz w:val="22"/>
          <w:szCs w:val="22"/>
        </w:rPr>
        <w:t>Sugary drinks are the leading source of added sugars in the U.S. diet</w:t>
      </w:r>
      <w:r w:rsidR="00A05DB9" w:rsidRPr="6A958BFA">
        <w:rPr>
          <w:rStyle w:val="EndnoteReference"/>
          <w:rFonts w:asciiTheme="minorHAnsi" w:hAnsiTheme="minorHAnsi" w:cstheme="minorBidi"/>
          <w:sz w:val="22"/>
          <w:szCs w:val="22"/>
        </w:rPr>
        <w:endnoteReference w:id="2"/>
      </w:r>
      <w:r w:rsidR="00A05DB9" w:rsidRPr="6A958BFA">
        <w:rPr>
          <w:rStyle w:val="normaltextrun"/>
          <w:rFonts w:asciiTheme="minorHAnsi" w:hAnsiTheme="minorHAnsi" w:cstheme="minorBidi"/>
          <w:sz w:val="22"/>
          <w:szCs w:val="22"/>
        </w:rPr>
        <w:t xml:space="preserve"> and consuming them is linked to an increased risk of type 2 diabetes</w:t>
      </w:r>
      <w:bookmarkStart w:id="0" w:name="_Ref86161627"/>
      <w:r w:rsidR="00A05DB9" w:rsidRPr="6A958BFA">
        <w:rPr>
          <w:rStyle w:val="EndnoteReference"/>
          <w:rFonts w:asciiTheme="minorHAnsi" w:hAnsiTheme="minorHAnsi" w:cstheme="minorBidi"/>
        </w:rPr>
        <w:endnoteReference w:id="3"/>
      </w:r>
      <w:bookmarkEnd w:id="0"/>
      <w:r w:rsidR="00A05DB9" w:rsidRPr="6A958BFA">
        <w:rPr>
          <w:rStyle w:val="normaltextrun"/>
          <w:rFonts w:asciiTheme="minorHAnsi" w:hAnsiTheme="minorHAnsi" w:cstheme="minorBidi"/>
          <w:sz w:val="22"/>
          <w:szCs w:val="22"/>
        </w:rPr>
        <w:t xml:space="preserve"> </w:t>
      </w:r>
      <w:r w:rsidR="00A91F2E">
        <w:rPr>
          <w:rStyle w:val="normaltextrun"/>
          <w:rFonts w:asciiTheme="minorHAnsi" w:hAnsiTheme="minorHAnsi" w:cstheme="minorBidi"/>
          <w:sz w:val="22"/>
          <w:szCs w:val="22"/>
        </w:rPr>
        <w:t xml:space="preserve">and </w:t>
      </w:r>
      <w:r w:rsidR="000F1958">
        <w:rPr>
          <w:rStyle w:val="normaltextrun"/>
          <w:rFonts w:asciiTheme="minorHAnsi" w:hAnsiTheme="minorHAnsi" w:cstheme="minorBidi"/>
          <w:sz w:val="22"/>
          <w:szCs w:val="22"/>
        </w:rPr>
        <w:t xml:space="preserve">cardiovascular </w:t>
      </w:r>
      <w:r w:rsidR="00A05DB9" w:rsidRPr="6A958BFA">
        <w:rPr>
          <w:rStyle w:val="normaltextrun"/>
          <w:rFonts w:asciiTheme="minorHAnsi" w:hAnsiTheme="minorHAnsi" w:cstheme="minorBidi"/>
          <w:sz w:val="22"/>
          <w:szCs w:val="22"/>
        </w:rPr>
        <w:t>disease</w:t>
      </w:r>
      <w:r w:rsidR="00A05DB9" w:rsidRPr="6A958BFA">
        <w:rPr>
          <w:rStyle w:val="EndnoteReference"/>
          <w:rFonts w:asciiTheme="minorHAnsi" w:hAnsiTheme="minorHAnsi" w:cstheme="minorBidi"/>
        </w:rPr>
        <w:endnoteReference w:id="4"/>
      </w:r>
      <w:r w:rsidR="00A05DB9" w:rsidRPr="6A958BFA">
        <w:rPr>
          <w:rFonts w:asciiTheme="minorHAnsi" w:hAnsiTheme="minorHAnsi" w:cstheme="minorBidi"/>
          <w:vertAlign w:val="superscript"/>
        </w:rPr>
        <w:t>,</w:t>
      </w:r>
      <w:bookmarkStart w:id="1" w:name="_Ref86162489"/>
      <w:r w:rsidR="00A05DB9" w:rsidRPr="6A958BFA">
        <w:rPr>
          <w:rStyle w:val="EndnoteReference"/>
          <w:rFonts w:asciiTheme="minorHAnsi" w:hAnsiTheme="minorHAnsi" w:cstheme="minorBidi"/>
        </w:rPr>
        <w:endnoteReference w:id="5"/>
      </w:r>
      <w:bookmarkEnd w:id="1"/>
      <w:r w:rsidR="00FB160D">
        <w:rPr>
          <w:rFonts w:asciiTheme="minorHAnsi" w:hAnsiTheme="minorHAnsi" w:cstheme="minorBidi"/>
        </w:rPr>
        <w:t>—</w:t>
      </w:r>
      <w:r w:rsidR="00A91F2E">
        <w:rPr>
          <w:rFonts w:asciiTheme="minorHAnsi" w:hAnsiTheme="minorHAnsi" w:cstheme="minorBidi"/>
        </w:rPr>
        <w:t>in part by leading to weight gain</w:t>
      </w:r>
      <w:r w:rsidR="00A91F2E" w:rsidRPr="6A958BFA">
        <w:rPr>
          <w:rStyle w:val="EndnoteReference"/>
          <w:rFonts w:asciiTheme="minorHAnsi" w:hAnsiTheme="minorHAnsi" w:cstheme="minorBidi"/>
          <w:sz w:val="22"/>
          <w:szCs w:val="22"/>
        </w:rPr>
        <w:endnoteReference w:id="6"/>
      </w:r>
      <w:r w:rsidR="00A91F2E" w:rsidRPr="6A958BFA">
        <w:rPr>
          <w:rStyle w:val="normaltextrun"/>
          <w:rFonts w:asciiTheme="minorHAnsi" w:hAnsiTheme="minorHAnsi" w:cstheme="minorBidi"/>
          <w:sz w:val="22"/>
          <w:szCs w:val="22"/>
          <w:vertAlign w:val="superscript"/>
        </w:rPr>
        <w:t>,</w:t>
      </w:r>
      <w:r w:rsidR="00A91F2E" w:rsidRPr="6A958BFA">
        <w:rPr>
          <w:rStyle w:val="EndnoteReference"/>
          <w:rFonts w:asciiTheme="minorHAnsi" w:hAnsiTheme="minorHAnsi" w:cstheme="minorBidi"/>
          <w:sz w:val="22"/>
          <w:szCs w:val="22"/>
        </w:rPr>
        <w:endnoteReference w:id="7"/>
      </w:r>
      <w:r w:rsidR="00A91F2E">
        <w:rPr>
          <w:rFonts w:asciiTheme="minorHAnsi" w:hAnsiTheme="minorHAnsi" w:cstheme="minorBidi"/>
        </w:rPr>
        <w:t>—as well as</w:t>
      </w:r>
      <w:r w:rsidR="00A05DB9" w:rsidRPr="6A958BFA">
        <w:rPr>
          <w:rFonts w:asciiTheme="minorHAnsi" w:hAnsiTheme="minorHAnsi" w:cstheme="minorBidi"/>
          <w:vertAlign w:val="superscript"/>
        </w:rPr>
        <w:t xml:space="preserve"> </w:t>
      </w:r>
      <w:r w:rsidR="00A05DB9" w:rsidRPr="6A958BFA">
        <w:rPr>
          <w:rStyle w:val="normaltextrun"/>
          <w:rFonts w:asciiTheme="minorHAnsi" w:hAnsiTheme="minorHAnsi" w:cstheme="minorBidi"/>
          <w:sz w:val="22"/>
          <w:szCs w:val="22"/>
        </w:rPr>
        <w:t>dental cavities.</w:t>
      </w:r>
      <w:r w:rsidR="00A05DB9" w:rsidRPr="6A958BFA">
        <w:rPr>
          <w:rStyle w:val="EndnoteReference"/>
          <w:rFonts w:asciiTheme="minorHAnsi" w:hAnsiTheme="minorHAnsi" w:cstheme="minorBidi"/>
          <w:sz w:val="22"/>
          <w:szCs w:val="22"/>
        </w:rPr>
        <w:endnoteReference w:id="8"/>
      </w:r>
      <w:r w:rsidR="00A05DB9" w:rsidRPr="6A958BFA">
        <w:rPr>
          <w:rStyle w:val="normaltextrun"/>
          <w:rFonts w:asciiTheme="minorHAnsi" w:hAnsiTheme="minorHAnsi" w:cstheme="minorBidi"/>
          <w:sz w:val="22"/>
          <w:szCs w:val="22"/>
        </w:rPr>
        <w:t xml:space="preserve"> College-aged young adults </w:t>
      </w:r>
      <w:r w:rsidR="00D552E3">
        <w:rPr>
          <w:rStyle w:val="normaltextrun"/>
          <w:rFonts w:asciiTheme="minorHAnsi" w:hAnsiTheme="minorHAnsi" w:cstheme="minorBidi"/>
          <w:sz w:val="22"/>
          <w:szCs w:val="22"/>
        </w:rPr>
        <w:t>generally consume more calories from sugar-sweetened beverages than other</w:t>
      </w:r>
      <w:r w:rsidR="00A05DB9" w:rsidRPr="6A958BFA">
        <w:rPr>
          <w:rStyle w:val="normaltextrun"/>
          <w:rFonts w:asciiTheme="minorHAnsi" w:hAnsiTheme="minorHAnsi" w:cstheme="minorBidi"/>
          <w:sz w:val="22"/>
          <w:szCs w:val="22"/>
        </w:rPr>
        <w:t xml:space="preserve"> age group</w:t>
      </w:r>
      <w:r w:rsidR="00D552E3">
        <w:rPr>
          <w:rStyle w:val="normaltextrun"/>
          <w:rFonts w:asciiTheme="minorHAnsi" w:hAnsiTheme="minorHAnsi" w:cstheme="minorBidi"/>
          <w:sz w:val="22"/>
          <w:szCs w:val="22"/>
        </w:rPr>
        <w:t>s</w:t>
      </w:r>
      <w:r w:rsidR="00A05DB9" w:rsidRPr="6A958BFA">
        <w:rPr>
          <w:rStyle w:val="normaltextrun"/>
          <w:rFonts w:asciiTheme="minorHAnsi" w:hAnsiTheme="minorHAnsi" w:cstheme="minorBidi"/>
          <w:sz w:val="22"/>
          <w:szCs w:val="22"/>
        </w:rPr>
        <w:t>,</w:t>
      </w:r>
      <w:r w:rsidR="00A05DB9" w:rsidRPr="6A958BFA">
        <w:rPr>
          <w:rStyle w:val="EndnoteReference"/>
          <w:rFonts w:asciiTheme="minorHAnsi" w:hAnsiTheme="minorHAnsi" w:cstheme="minorBidi"/>
          <w:sz w:val="22"/>
          <w:szCs w:val="22"/>
        </w:rPr>
        <w:endnoteReference w:id="9"/>
      </w:r>
      <w:r w:rsidR="00A05DB9" w:rsidRPr="6A958BFA">
        <w:rPr>
          <w:rStyle w:val="normaltextrun"/>
          <w:rFonts w:asciiTheme="minorHAnsi" w:hAnsiTheme="minorHAnsi" w:cstheme="minorBidi"/>
          <w:sz w:val="22"/>
          <w:szCs w:val="22"/>
        </w:rPr>
        <w:t xml:space="preserve"> and about two thirds of college-aged adults exceed the recommended daily limit for added sugars.</w:t>
      </w:r>
      <w:r w:rsidR="00A05DB9" w:rsidRPr="6A958BFA">
        <w:rPr>
          <w:rStyle w:val="EndnoteReference"/>
          <w:rFonts w:asciiTheme="minorHAnsi" w:hAnsiTheme="minorHAnsi" w:cstheme="minorBidi"/>
          <w:sz w:val="22"/>
          <w:szCs w:val="22"/>
        </w:rPr>
        <w:endnoteReference w:id="10"/>
      </w:r>
      <w:r w:rsidR="00A05DB9" w:rsidRPr="6A958BFA">
        <w:rPr>
          <w:rStyle w:val="normaltextrun"/>
          <w:rFonts w:asciiTheme="minorHAnsi" w:hAnsiTheme="minorHAnsi" w:cstheme="minorBidi"/>
          <w:sz w:val="22"/>
          <w:szCs w:val="22"/>
        </w:rPr>
        <w:t xml:space="preserve"> </w:t>
      </w:r>
      <w:r w:rsidR="00E76E4F" w:rsidRPr="6A958BFA">
        <w:rPr>
          <w:rStyle w:val="normaltextrun"/>
          <w:rFonts w:asciiTheme="minorHAnsi" w:hAnsiTheme="minorHAnsi" w:cstheme="minorBidi"/>
          <w:sz w:val="22"/>
          <w:szCs w:val="22"/>
        </w:rPr>
        <w:t>Replacing sugary drinks with healthier beverages such as tap water, sparkling water, or unsweetened tea or coffee is an easy way to cut back on added sugars</w:t>
      </w:r>
      <w:r w:rsidR="00557FA5" w:rsidRPr="6A958BFA">
        <w:rPr>
          <w:rStyle w:val="normaltextrun"/>
          <w:rFonts w:asciiTheme="minorHAnsi" w:hAnsiTheme="minorHAnsi" w:cstheme="minorBidi"/>
          <w:sz w:val="22"/>
          <w:szCs w:val="22"/>
        </w:rPr>
        <w:t xml:space="preserve"> and possibly lower the risk of chronic health problems.</w:t>
      </w:r>
      <w:r w:rsidR="00A05DB9" w:rsidRPr="6A958BFA">
        <w:rPr>
          <w:rStyle w:val="EndnoteReference"/>
          <w:rFonts w:asciiTheme="minorHAnsi" w:hAnsiTheme="minorHAnsi" w:cstheme="minorBidi"/>
          <w:sz w:val="20"/>
          <w:szCs w:val="20"/>
        </w:rPr>
        <w:endnoteReference w:id="11"/>
      </w:r>
      <w:r w:rsidR="00A05DB9" w:rsidRPr="6A958BFA">
        <w:rPr>
          <w:rFonts w:asciiTheme="minorHAnsi" w:hAnsiTheme="minorHAnsi" w:cstheme="minorBidi"/>
          <w:sz w:val="20"/>
          <w:szCs w:val="20"/>
          <w:vertAlign w:val="superscript"/>
        </w:rPr>
        <w:t>,</w:t>
      </w:r>
      <w:r w:rsidR="00A05DB9" w:rsidRPr="6A958BFA">
        <w:rPr>
          <w:rStyle w:val="EndnoteReference"/>
          <w:rFonts w:asciiTheme="minorHAnsi" w:hAnsiTheme="minorHAnsi" w:cstheme="minorBidi"/>
          <w:sz w:val="20"/>
          <w:szCs w:val="20"/>
        </w:rPr>
        <w:endnoteReference w:id="12"/>
      </w:r>
      <w:r w:rsidR="00A05DB9" w:rsidRPr="6A958BFA">
        <w:rPr>
          <w:rFonts w:asciiTheme="minorHAnsi" w:hAnsiTheme="minorHAnsi" w:cstheme="minorBidi"/>
          <w:sz w:val="20"/>
          <w:szCs w:val="20"/>
          <w:vertAlign w:val="superscript"/>
        </w:rPr>
        <w:t>,</w:t>
      </w:r>
      <w:r w:rsidR="00A05DB9" w:rsidRPr="6A958BFA">
        <w:rPr>
          <w:rStyle w:val="EndnoteReference"/>
          <w:rFonts w:asciiTheme="minorHAnsi" w:hAnsiTheme="minorHAnsi" w:cstheme="minorBidi"/>
          <w:sz w:val="20"/>
          <w:szCs w:val="20"/>
        </w:rPr>
        <w:endnoteReference w:id="13"/>
      </w:r>
      <w:r w:rsidR="00557FA5" w:rsidRPr="6A958BFA">
        <w:rPr>
          <w:rStyle w:val="normaltextrun"/>
          <w:rFonts w:asciiTheme="minorHAnsi" w:hAnsiTheme="minorHAnsi" w:cstheme="minorBidi"/>
          <w:sz w:val="22"/>
          <w:szCs w:val="22"/>
        </w:rPr>
        <w:t xml:space="preserve"> </w:t>
      </w:r>
      <w:r w:rsidR="00CD67B1" w:rsidRPr="6A958BFA">
        <w:rPr>
          <w:rStyle w:val="normaltextrun"/>
          <w:rFonts w:asciiTheme="minorHAnsi" w:hAnsiTheme="minorHAnsi" w:cstheme="minorBidi"/>
          <w:sz w:val="22"/>
          <w:szCs w:val="22"/>
        </w:rPr>
        <w:t>For more information, s</w:t>
      </w:r>
      <w:r w:rsidR="001A47BE" w:rsidRPr="6A958BFA">
        <w:rPr>
          <w:rStyle w:val="normaltextrun"/>
          <w:rFonts w:asciiTheme="minorHAnsi" w:hAnsiTheme="minorHAnsi" w:cstheme="minorBidi"/>
          <w:sz w:val="22"/>
          <w:szCs w:val="22"/>
        </w:rPr>
        <w:t xml:space="preserve">ee </w:t>
      </w:r>
      <w:hyperlink r:id="rId8" w:history="1">
        <w:r w:rsidR="0053510E" w:rsidRPr="0053510E">
          <w:rPr>
            <w:rStyle w:val="Hyperlink"/>
            <w:rFonts w:asciiTheme="minorHAnsi" w:hAnsiTheme="minorHAnsi" w:cstheme="minorBidi"/>
            <w:sz w:val="22"/>
            <w:szCs w:val="22"/>
          </w:rPr>
          <w:t>Sugar-Sweetened Beverages and Health on Campus</w:t>
        </w:r>
      </w:hyperlink>
      <w:r w:rsidR="001A47BE" w:rsidRPr="6A958BFA">
        <w:rPr>
          <w:rStyle w:val="normaltextrun"/>
          <w:rFonts w:asciiTheme="minorHAnsi" w:hAnsiTheme="minorHAnsi" w:cstheme="minorBidi"/>
          <w:sz w:val="22"/>
          <w:szCs w:val="22"/>
        </w:rPr>
        <w:t>.</w:t>
      </w:r>
    </w:p>
    <w:p w14:paraId="1EC94CB6" w14:textId="77777777" w:rsidR="00D56DE0" w:rsidRPr="007534AA" w:rsidRDefault="00D56DE0" w:rsidP="16BAFED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DB5FB31" w14:textId="77777777" w:rsidR="008241F7" w:rsidRPr="007534AA" w:rsidRDefault="008241F7" w:rsidP="008241F7">
      <w:pPr>
        <w:pStyle w:val="paragraph"/>
        <w:spacing w:before="0" w:beforeAutospacing="0" w:after="0" w:afterAutospacing="0"/>
        <w:rPr>
          <w:rFonts w:asciiTheme="minorHAnsi" w:hAnsiTheme="minorHAnsi" w:cstheme="minorHAnsi"/>
          <w:b/>
          <w:bCs/>
          <w:sz w:val="22"/>
          <w:szCs w:val="22"/>
        </w:rPr>
      </w:pPr>
      <w:r w:rsidRPr="007534AA">
        <w:rPr>
          <w:rFonts w:asciiTheme="minorHAnsi" w:hAnsiTheme="minorHAnsi" w:cstheme="minorHAnsi"/>
          <w:b/>
          <w:bCs/>
          <w:sz w:val="22"/>
          <w:szCs w:val="22"/>
        </w:rPr>
        <w:t>Why does our university have a pouring rights contract?</w:t>
      </w:r>
      <w:r w:rsidRPr="007534AA">
        <w:rPr>
          <w:rStyle w:val="normaltextrun"/>
          <w:rFonts w:asciiTheme="minorHAnsi" w:hAnsiTheme="minorHAnsi" w:cstheme="minorHAnsi"/>
          <w:b/>
          <w:bCs/>
          <w:sz w:val="22"/>
          <w:szCs w:val="22"/>
        </w:rPr>
        <w:t xml:space="preserve"> </w:t>
      </w:r>
    </w:p>
    <w:p w14:paraId="0972569A" w14:textId="77777777" w:rsidR="008241F7" w:rsidRPr="007534AA" w:rsidRDefault="008241F7" w:rsidP="008241F7">
      <w:pPr>
        <w:pStyle w:val="paragraph"/>
        <w:spacing w:before="0" w:beforeAutospacing="0" w:after="0" w:afterAutospacing="0"/>
        <w:rPr>
          <w:rFonts w:asciiTheme="minorHAnsi" w:hAnsiTheme="minorHAnsi" w:cstheme="minorHAnsi"/>
          <w:b/>
          <w:bCs/>
          <w:sz w:val="22"/>
          <w:szCs w:val="22"/>
        </w:rPr>
      </w:pPr>
      <w:r w:rsidRPr="007534AA">
        <w:rPr>
          <w:rFonts w:asciiTheme="minorHAnsi" w:hAnsiTheme="minorHAnsi" w:cstheme="minorHAnsi"/>
          <w:sz w:val="22"/>
          <w:szCs w:val="22"/>
        </w:rPr>
        <w:t>Pouring rights contracts offer a convenient way to sponsor athletics, clubs, scholarships, and other programs. In exchange, universities sell exclusive access to their own campus community, allowing Coca-Cola or PepsiCo exclusive rights to sell and promote their beverages on campus and in association with the university brand.</w:t>
      </w:r>
    </w:p>
    <w:p w14:paraId="02711695" w14:textId="77777777" w:rsidR="008241F7" w:rsidRPr="007534AA" w:rsidRDefault="008241F7" w:rsidP="008241F7">
      <w:pPr>
        <w:spacing w:after="0"/>
        <w:rPr>
          <w:rFonts w:cstheme="minorHAnsi"/>
        </w:rPr>
      </w:pPr>
    </w:p>
    <w:p w14:paraId="477C144A" w14:textId="1A281D91" w:rsidR="008241F7" w:rsidRDefault="008241F7" w:rsidP="008241F7">
      <w:pPr>
        <w:spacing w:after="0"/>
        <w:rPr>
          <w:rFonts w:cstheme="minorHAnsi"/>
          <w:color w:val="000000" w:themeColor="text1"/>
        </w:rPr>
      </w:pPr>
      <w:r w:rsidRPr="007534AA">
        <w:rPr>
          <w:rFonts w:cstheme="minorHAnsi"/>
        </w:rPr>
        <w:t xml:space="preserve">[COKE/PEPSI] pays [OUR SCHOOL] [DOLLAR AMOUNT] annually to sell and market beverages at our college/university. </w:t>
      </w:r>
      <w:r w:rsidRPr="007534AA">
        <w:rPr>
          <w:rFonts w:cstheme="minorHAnsi"/>
          <w:color w:val="000000" w:themeColor="text1"/>
        </w:rPr>
        <w:t xml:space="preserve">This is a small fraction of the university’s budget of </w:t>
      </w:r>
      <w:r w:rsidR="003C4C79">
        <w:rPr>
          <w:rFonts w:cstheme="minorHAnsi"/>
          <w:color w:val="000000" w:themeColor="text1"/>
        </w:rPr>
        <w:t>[</w:t>
      </w:r>
      <w:r w:rsidRPr="007534AA">
        <w:rPr>
          <w:rFonts w:cstheme="minorHAnsi"/>
          <w:color w:val="000000" w:themeColor="text1"/>
        </w:rPr>
        <w:t>$XXX</w:t>
      </w:r>
      <w:r w:rsidR="003C4C79">
        <w:rPr>
          <w:rFonts w:cstheme="minorHAnsi"/>
          <w:color w:val="000000" w:themeColor="text1"/>
        </w:rPr>
        <w:t>]</w:t>
      </w:r>
      <w:r w:rsidRPr="007534AA">
        <w:rPr>
          <w:rFonts w:cstheme="minorHAnsi"/>
          <w:color w:val="000000" w:themeColor="text1"/>
        </w:rPr>
        <w:t xml:space="preserve">. The university collects revenue from the contract at the expense of student, </w:t>
      </w:r>
      <w:proofErr w:type="gramStart"/>
      <w:r w:rsidRPr="007534AA">
        <w:rPr>
          <w:rFonts w:cstheme="minorHAnsi"/>
          <w:color w:val="000000" w:themeColor="text1"/>
        </w:rPr>
        <w:t>faculty</w:t>
      </w:r>
      <w:proofErr w:type="gramEnd"/>
      <w:r w:rsidRPr="007534AA">
        <w:rPr>
          <w:rFonts w:cstheme="minorHAnsi"/>
          <w:color w:val="000000" w:themeColor="text1"/>
        </w:rPr>
        <w:t xml:space="preserve"> and staff health as well as the well-being of the campus, as a whole. No amount of money is worth compromising our health and our university’s integrity. </w:t>
      </w:r>
    </w:p>
    <w:p w14:paraId="00AA72B4" w14:textId="77777777" w:rsidR="008241F7" w:rsidRPr="007534AA" w:rsidRDefault="008241F7" w:rsidP="008241F7">
      <w:pPr>
        <w:spacing w:after="0"/>
        <w:rPr>
          <w:rFonts w:cstheme="minorHAnsi"/>
        </w:rPr>
      </w:pPr>
    </w:p>
    <w:p w14:paraId="2ED61C62" w14:textId="77FE23A8" w:rsidR="00D33CEC" w:rsidRPr="00C53690" w:rsidRDefault="00B003A6" w:rsidP="001B1EF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534AA">
        <w:rPr>
          <w:rStyle w:val="normaltextrun"/>
          <w:rFonts w:asciiTheme="minorHAnsi" w:hAnsiTheme="minorHAnsi" w:cstheme="minorHAnsi"/>
          <w:b/>
          <w:bCs/>
          <w:sz w:val="22"/>
          <w:szCs w:val="22"/>
        </w:rPr>
        <w:t>What are the solutions?</w:t>
      </w:r>
    </w:p>
    <w:p w14:paraId="4BFA54D8" w14:textId="182F49F4" w:rsidR="00346823" w:rsidRPr="007534AA" w:rsidRDefault="00346823" w:rsidP="00346823">
      <w:pPr>
        <w:pStyle w:val="paragraph"/>
        <w:spacing w:before="0" w:beforeAutospacing="0" w:after="0" w:afterAutospacing="0"/>
        <w:textAlignment w:val="baseline"/>
        <w:rPr>
          <w:rStyle w:val="normaltextrun"/>
          <w:rFonts w:asciiTheme="minorHAnsi" w:hAnsiTheme="minorHAnsi" w:cstheme="minorHAnsi"/>
          <w:sz w:val="22"/>
          <w:szCs w:val="22"/>
        </w:rPr>
      </w:pPr>
      <w:r w:rsidRPr="007534AA">
        <w:rPr>
          <w:rStyle w:val="normaltextrun"/>
          <w:rFonts w:asciiTheme="minorHAnsi" w:hAnsiTheme="minorHAnsi" w:cstheme="minorHAnsi"/>
          <w:sz w:val="22"/>
          <w:szCs w:val="22"/>
        </w:rPr>
        <w:t xml:space="preserve">By ending or amending the pouring rights contract, the university could require that most or all beverages offered on campus are healthy and low in added sugar. We could phase out the sales of single-use beverage containers over time. We could shift to purchasing less from Big Soda and more from local companies that share our values. </w:t>
      </w:r>
    </w:p>
    <w:p w14:paraId="6E9BACB2" w14:textId="77777777" w:rsidR="00346823" w:rsidRPr="007534AA" w:rsidRDefault="00346823" w:rsidP="00346823">
      <w:pPr>
        <w:pStyle w:val="paragraph"/>
        <w:spacing w:before="0" w:beforeAutospacing="0" w:after="0" w:afterAutospacing="0"/>
        <w:textAlignment w:val="baseline"/>
        <w:rPr>
          <w:rStyle w:val="normaltextrun"/>
          <w:rFonts w:asciiTheme="minorHAnsi" w:hAnsiTheme="minorHAnsi" w:cstheme="minorHAnsi"/>
          <w:sz w:val="22"/>
          <w:szCs w:val="22"/>
        </w:rPr>
      </w:pPr>
    </w:p>
    <w:p w14:paraId="4108A993" w14:textId="71CBF1BC" w:rsidR="00346823" w:rsidRPr="007534AA" w:rsidRDefault="00186108" w:rsidP="001B1EF7">
      <w:pPr>
        <w:pStyle w:val="paragraph"/>
        <w:spacing w:before="0" w:beforeAutospacing="0" w:after="0" w:afterAutospacing="0"/>
        <w:textAlignment w:val="baseline"/>
        <w:rPr>
          <w:rStyle w:val="normaltextrun"/>
          <w:rFonts w:asciiTheme="minorHAnsi" w:hAnsiTheme="minorHAnsi" w:cstheme="minorHAnsi"/>
          <w:sz w:val="22"/>
          <w:szCs w:val="22"/>
        </w:rPr>
      </w:pPr>
      <w:r w:rsidRPr="007534AA">
        <w:rPr>
          <w:rStyle w:val="normaltextrun"/>
          <w:rFonts w:asciiTheme="minorHAnsi" w:hAnsiTheme="minorHAnsi" w:cstheme="minorHAnsi"/>
          <w:sz w:val="22"/>
          <w:szCs w:val="22"/>
        </w:rPr>
        <w:t xml:space="preserve">Tap water is the healthiest, most environmentally friendly beverage choice. The university should be making every effort to </w:t>
      </w:r>
      <w:r w:rsidR="00346823" w:rsidRPr="007534AA">
        <w:rPr>
          <w:rStyle w:val="normaltextrun"/>
          <w:rFonts w:asciiTheme="minorHAnsi" w:hAnsiTheme="minorHAnsi" w:cstheme="minorHAnsi"/>
          <w:sz w:val="22"/>
          <w:szCs w:val="22"/>
        </w:rPr>
        <w:t>make it the easiest choice as well by, for example, installing and updating filling stations for reusable water bottles.</w:t>
      </w:r>
    </w:p>
    <w:p w14:paraId="2891250B" w14:textId="4393718D" w:rsidR="00B95109" w:rsidRPr="007534AA" w:rsidRDefault="00B95109" w:rsidP="00B003A6">
      <w:pPr>
        <w:pStyle w:val="paragraph"/>
        <w:spacing w:before="0" w:beforeAutospacing="0" w:after="0" w:afterAutospacing="0"/>
        <w:textAlignment w:val="baseline"/>
        <w:rPr>
          <w:rFonts w:asciiTheme="minorHAnsi" w:hAnsiTheme="minorHAnsi" w:cstheme="minorHAnsi"/>
          <w:b/>
          <w:bCs/>
          <w:sz w:val="22"/>
          <w:szCs w:val="22"/>
        </w:rPr>
      </w:pPr>
    </w:p>
    <w:p w14:paraId="7538952F" w14:textId="42A0467F" w:rsidR="004B5521" w:rsidRPr="00C53690" w:rsidRDefault="00E728B8" w:rsidP="00B003A6">
      <w:pPr>
        <w:pStyle w:val="paragraph"/>
        <w:spacing w:before="0" w:beforeAutospacing="0" w:after="0" w:afterAutospacing="0"/>
        <w:textAlignment w:val="baseline"/>
        <w:rPr>
          <w:rFonts w:asciiTheme="minorHAnsi" w:hAnsiTheme="minorHAnsi" w:cstheme="minorHAnsi"/>
          <w:b/>
          <w:bCs/>
          <w:sz w:val="22"/>
          <w:szCs w:val="22"/>
        </w:rPr>
      </w:pPr>
      <w:r w:rsidRPr="007534AA">
        <w:rPr>
          <w:rFonts w:asciiTheme="minorHAnsi" w:hAnsiTheme="minorHAnsi" w:cstheme="minorHAnsi"/>
          <w:b/>
          <w:bCs/>
          <w:sz w:val="22"/>
          <w:szCs w:val="22"/>
        </w:rPr>
        <w:t xml:space="preserve">Have other universities </w:t>
      </w:r>
      <w:r w:rsidR="00DE2729" w:rsidRPr="007534AA">
        <w:rPr>
          <w:rFonts w:asciiTheme="minorHAnsi" w:hAnsiTheme="minorHAnsi" w:cstheme="minorHAnsi"/>
          <w:b/>
          <w:bCs/>
          <w:sz w:val="22"/>
          <w:szCs w:val="22"/>
        </w:rPr>
        <w:t>ended pouring rights</w:t>
      </w:r>
      <w:r w:rsidR="00124E54" w:rsidRPr="007534AA">
        <w:rPr>
          <w:rFonts w:asciiTheme="minorHAnsi" w:hAnsiTheme="minorHAnsi" w:cstheme="minorHAnsi"/>
          <w:b/>
          <w:bCs/>
          <w:sz w:val="22"/>
          <w:szCs w:val="22"/>
        </w:rPr>
        <w:t>?</w:t>
      </w:r>
    </w:p>
    <w:p w14:paraId="67B9FD74" w14:textId="460CD448" w:rsidR="00124E54" w:rsidRPr="007534AA" w:rsidRDefault="0094225B" w:rsidP="00B003A6">
      <w:pPr>
        <w:pStyle w:val="paragraph"/>
        <w:spacing w:before="0" w:beforeAutospacing="0" w:after="0" w:afterAutospacing="0"/>
        <w:textAlignment w:val="baseline"/>
        <w:rPr>
          <w:rFonts w:asciiTheme="minorHAnsi" w:hAnsiTheme="minorHAnsi" w:cstheme="minorHAnsi"/>
          <w:sz w:val="22"/>
          <w:szCs w:val="22"/>
        </w:rPr>
      </w:pPr>
      <w:r w:rsidRPr="007534AA">
        <w:rPr>
          <w:rFonts w:asciiTheme="minorHAnsi" w:hAnsiTheme="minorHAnsi" w:cstheme="minorHAnsi"/>
          <w:sz w:val="22"/>
          <w:szCs w:val="22"/>
        </w:rPr>
        <w:t xml:space="preserve">Yes! </w:t>
      </w:r>
      <w:r w:rsidR="00332424" w:rsidRPr="007534AA">
        <w:rPr>
          <w:rFonts w:asciiTheme="minorHAnsi" w:hAnsiTheme="minorHAnsi" w:cstheme="minorHAnsi"/>
          <w:sz w:val="22"/>
          <w:szCs w:val="22"/>
        </w:rPr>
        <w:t>University of Vermont</w:t>
      </w:r>
      <w:r w:rsidR="002E1BAC" w:rsidRPr="007534AA">
        <w:rPr>
          <w:rFonts w:asciiTheme="minorHAnsi" w:hAnsiTheme="minorHAnsi" w:cstheme="minorHAnsi"/>
          <w:sz w:val="22"/>
          <w:szCs w:val="22"/>
        </w:rPr>
        <w:t xml:space="preserve"> and</w:t>
      </w:r>
      <w:r w:rsidR="00332424" w:rsidRPr="007534AA">
        <w:rPr>
          <w:rFonts w:asciiTheme="minorHAnsi" w:hAnsiTheme="minorHAnsi" w:cstheme="minorHAnsi"/>
          <w:sz w:val="22"/>
          <w:szCs w:val="22"/>
        </w:rPr>
        <w:t xml:space="preserve"> Humboldt State University</w:t>
      </w:r>
      <w:r w:rsidR="002E1BAC" w:rsidRPr="007534AA">
        <w:rPr>
          <w:rFonts w:asciiTheme="minorHAnsi" w:hAnsiTheme="minorHAnsi" w:cstheme="minorHAnsi"/>
          <w:sz w:val="22"/>
          <w:szCs w:val="22"/>
        </w:rPr>
        <w:t xml:space="preserve"> </w:t>
      </w:r>
      <w:r w:rsidR="00BC2654" w:rsidRPr="007534AA">
        <w:rPr>
          <w:rFonts w:asciiTheme="minorHAnsi" w:hAnsiTheme="minorHAnsi" w:cstheme="minorHAnsi"/>
          <w:sz w:val="22"/>
          <w:szCs w:val="22"/>
        </w:rPr>
        <w:t xml:space="preserve">ended their contracts. University of British Columbia </w:t>
      </w:r>
      <w:r w:rsidR="00BD683F" w:rsidRPr="007534AA">
        <w:rPr>
          <w:rFonts w:asciiTheme="minorHAnsi" w:hAnsiTheme="minorHAnsi" w:cstheme="minorHAnsi"/>
          <w:sz w:val="22"/>
          <w:szCs w:val="22"/>
        </w:rPr>
        <w:t xml:space="preserve">improved its contract to implement a healthy beverage initiative on campus. </w:t>
      </w:r>
    </w:p>
    <w:p w14:paraId="55182A54" w14:textId="77777777" w:rsidR="00E728B8" w:rsidRPr="007534AA" w:rsidRDefault="00E728B8" w:rsidP="00346823">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68EE49B" w14:textId="51A091C7" w:rsidR="004B5521" w:rsidRPr="00C53690" w:rsidRDefault="00346823" w:rsidP="00C53690">
      <w:pPr>
        <w:pStyle w:val="paragraph"/>
        <w:spacing w:before="0" w:beforeAutospacing="0" w:after="0" w:afterAutospacing="0"/>
        <w:textAlignment w:val="baseline"/>
        <w:rPr>
          <w:rFonts w:asciiTheme="minorHAnsi" w:hAnsiTheme="minorHAnsi" w:cstheme="minorHAnsi"/>
          <w:b/>
          <w:bCs/>
          <w:sz w:val="22"/>
          <w:szCs w:val="22"/>
        </w:rPr>
      </w:pPr>
      <w:r w:rsidRPr="007534AA">
        <w:rPr>
          <w:rStyle w:val="normaltextrun"/>
          <w:rFonts w:asciiTheme="minorHAnsi" w:hAnsiTheme="minorHAnsi" w:cstheme="minorHAnsi"/>
          <w:b/>
          <w:bCs/>
          <w:sz w:val="22"/>
          <w:szCs w:val="22"/>
        </w:rPr>
        <w:t>How can I help?</w:t>
      </w:r>
    </w:p>
    <w:p w14:paraId="5206203A" w14:textId="5D3795D2" w:rsidR="2AAC02BF" w:rsidRDefault="00AC3547" w:rsidP="2AAC02BF">
      <w:pPr>
        <w:rPr>
          <w:color w:val="000000" w:themeColor="text1"/>
        </w:rPr>
      </w:pPr>
      <w:r w:rsidRPr="2AAC02BF">
        <w:rPr>
          <w:color w:val="000000" w:themeColor="text1"/>
        </w:rPr>
        <w:t>Our campaign</w:t>
      </w:r>
      <w:r w:rsidR="00D1061C" w:rsidRPr="2AAC02BF">
        <w:rPr>
          <w:color w:val="000000" w:themeColor="text1"/>
        </w:rPr>
        <w:t xml:space="preserve"> needs help with [</w:t>
      </w:r>
      <w:proofErr w:type="gramStart"/>
      <w:r w:rsidR="000F2B1B" w:rsidRPr="2AAC02BF">
        <w:rPr>
          <w:color w:val="000000" w:themeColor="text1"/>
        </w:rPr>
        <w:t>X,Y</w:t>
      </w:r>
      <w:proofErr w:type="gramEnd"/>
      <w:r w:rsidR="000F2B1B" w:rsidRPr="2AAC02BF">
        <w:rPr>
          <w:color w:val="000000" w:themeColor="text1"/>
        </w:rPr>
        <w:t>,Z].</w:t>
      </w:r>
      <w:r w:rsidRPr="2AAC02BF">
        <w:rPr>
          <w:color w:val="000000" w:themeColor="text1"/>
        </w:rPr>
        <w:t xml:space="preserve"> Email us at [ADDRESS] to get involved.</w:t>
      </w:r>
    </w:p>
    <w:p w14:paraId="7FC8FC3F" w14:textId="77777777" w:rsidR="004B5521" w:rsidRDefault="004B5521" w:rsidP="2AAC02BF">
      <w:pPr>
        <w:rPr>
          <w:color w:val="000000"/>
        </w:rPr>
      </w:pPr>
    </w:p>
    <w:p w14:paraId="77959B63" w14:textId="77777777" w:rsidR="004B5521" w:rsidRPr="004B5521" w:rsidRDefault="004B5521" w:rsidP="2AAC02BF">
      <w:pPr>
        <w:rPr>
          <w:color w:val="000000"/>
        </w:rPr>
      </w:pPr>
    </w:p>
    <w:p w14:paraId="51A73D74" w14:textId="7EBBE520" w:rsidR="00256A00" w:rsidRDefault="00256A00" w:rsidP="004B5521">
      <w:pPr>
        <w:jc w:val="center"/>
        <w:rPr>
          <w:b/>
          <w:bCs/>
          <w:i/>
          <w:iCs/>
          <w:sz w:val="20"/>
          <w:szCs w:val="20"/>
        </w:rPr>
      </w:pPr>
      <w:r w:rsidRPr="2AAC02BF">
        <w:rPr>
          <w:b/>
          <w:bCs/>
          <w:i/>
          <w:iCs/>
          <w:sz w:val="20"/>
          <w:szCs w:val="20"/>
        </w:rPr>
        <w:t xml:space="preserve">For more information, please contact the Center for Science in the Public Interest at </w:t>
      </w:r>
      <w:hyperlink r:id="rId9" w:history="1">
        <w:r w:rsidRPr="2AAC02BF">
          <w:rPr>
            <w:rStyle w:val="Hyperlink"/>
            <w:b/>
            <w:bCs/>
            <w:i/>
            <w:iCs/>
            <w:sz w:val="20"/>
            <w:szCs w:val="20"/>
          </w:rPr>
          <w:t>policy@cspinet.org</w:t>
        </w:r>
      </w:hyperlink>
      <w:r w:rsidRPr="2AAC02BF">
        <w:rPr>
          <w:b/>
          <w:bCs/>
          <w:i/>
          <w:iCs/>
          <w:sz w:val="20"/>
          <w:szCs w:val="20"/>
        </w:rPr>
        <w:t xml:space="preserve">. </w:t>
      </w:r>
    </w:p>
    <w:p w14:paraId="13EBFB9A" w14:textId="095207A8" w:rsidR="00C53690" w:rsidRPr="004B5521" w:rsidRDefault="00C53690" w:rsidP="004B5521">
      <w:pPr>
        <w:jc w:val="center"/>
        <w:rPr>
          <w:b/>
          <w:bCs/>
          <w:i/>
          <w:iCs/>
          <w:sz w:val="20"/>
          <w:szCs w:val="20"/>
        </w:rPr>
      </w:pPr>
      <w:r>
        <w:rPr>
          <w:noProof/>
        </w:rPr>
        <mc:AlternateContent>
          <mc:Choice Requires="wps">
            <w:drawing>
              <wp:anchor distT="0" distB="0" distL="114300" distR="114300" simplePos="0" relativeHeight="251659264" behindDoc="0" locked="0" layoutInCell="1" allowOverlap="1" wp14:anchorId="207C2EFF" wp14:editId="11BF1428">
                <wp:simplePos x="0" y="0"/>
                <wp:positionH relativeFrom="column">
                  <wp:posOffset>3460750</wp:posOffset>
                </wp:positionH>
                <wp:positionV relativeFrom="paragraph">
                  <wp:posOffset>725170</wp:posOffset>
                </wp:positionV>
                <wp:extent cx="2646680" cy="466725"/>
                <wp:effectExtent l="0" t="0" r="0" b="0"/>
                <wp:wrapNone/>
                <wp:docPr id="802379696" name="Text Box 3"/>
                <wp:cNvGraphicFramePr/>
                <a:graphic xmlns:a="http://schemas.openxmlformats.org/drawingml/2006/main">
                  <a:graphicData uri="http://schemas.microsoft.com/office/word/2010/wordprocessingShape">
                    <wps:wsp>
                      <wps:cNvSpPr txBox="1"/>
                      <wps:spPr>
                        <a:xfrm>
                          <a:off x="0" y="0"/>
                          <a:ext cx="2646680" cy="466725"/>
                        </a:xfrm>
                        <a:prstGeom prst="rect">
                          <a:avLst/>
                        </a:prstGeom>
                        <a:noFill/>
                        <a:ln w="6350">
                          <a:noFill/>
                        </a:ln>
                      </wps:spPr>
                      <wps:txbx>
                        <w:txbxContent>
                          <w:p w14:paraId="089B4A9E" w14:textId="77777777" w:rsidR="00256A00" w:rsidRPr="007C7CD4" w:rsidRDefault="00256A00" w:rsidP="00256A00">
                            <w:pPr>
                              <w:pStyle w:val="AvenirDate"/>
                            </w:pPr>
                            <w:r>
                              <w:t>April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7C2EFF" id="_x0000_t202" coordsize="21600,21600" o:spt="202" path="m,l,21600r21600,l21600,xe">
                <v:stroke joinstyle="miter"/>
                <v:path gradientshapeok="t" o:connecttype="rect"/>
              </v:shapetype>
              <v:shape id="Text Box 3" o:spid="_x0000_s1026" type="#_x0000_t202" style="position:absolute;left:0;text-align:left;margin-left:272.5pt;margin-top:57.1pt;width:208.4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" filled="f" stroked="f" strokeweight=".5pt">
                <v:textbox>
                  <w:txbxContent>
                    <w:p w14:paraId="089B4A9E" w14:textId="77777777" w:rsidR="00256A00" w:rsidRPr="007C7CD4" w:rsidRDefault="00256A00" w:rsidP="00256A00">
                      <w:pPr>
                        <w:pStyle w:val="AvenirDate"/>
                      </w:pPr>
                      <w:r>
                        <w:t>April 2022</w:t>
                      </w:r>
                    </w:p>
                  </w:txbxContent>
                </v:textbox>
              </v:shape>
            </w:pict>
          </mc:Fallback>
        </mc:AlternateContent>
      </w:r>
    </w:p>
    <w:sectPr w:rsidR="00C53690" w:rsidRPr="004B552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A18B" w14:textId="77777777" w:rsidR="004B52D6" w:rsidRDefault="004B52D6" w:rsidP="001B1EF7">
      <w:pPr>
        <w:spacing w:after="0" w:line="240" w:lineRule="auto"/>
      </w:pPr>
      <w:r>
        <w:separator/>
      </w:r>
    </w:p>
  </w:endnote>
  <w:endnote w:type="continuationSeparator" w:id="0">
    <w:p w14:paraId="22CA2971" w14:textId="77777777" w:rsidR="004B52D6" w:rsidRDefault="004B52D6" w:rsidP="001B1EF7">
      <w:pPr>
        <w:spacing w:after="0" w:line="240" w:lineRule="auto"/>
      </w:pPr>
      <w:r>
        <w:continuationSeparator/>
      </w:r>
    </w:p>
  </w:endnote>
  <w:endnote w:type="continuationNotice" w:id="1">
    <w:p w14:paraId="0496A4B5" w14:textId="77777777" w:rsidR="004B52D6" w:rsidRDefault="004B52D6">
      <w:pPr>
        <w:spacing w:after="0" w:line="240" w:lineRule="auto"/>
      </w:pPr>
    </w:p>
  </w:endnote>
  <w:endnote w:id="2">
    <w:p w14:paraId="57F47D2A" w14:textId="77777777" w:rsidR="00A05DB9" w:rsidRPr="00C53690" w:rsidRDefault="00A05DB9" w:rsidP="00692828">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w:t>
      </w:r>
      <w:r w:rsidRPr="00C53690">
        <w:rPr>
          <w:rStyle w:val="normaltextrun"/>
          <w:rFonts w:asciiTheme="minorHAnsi" w:hAnsiTheme="minorHAnsi" w:cstheme="minorHAnsi"/>
          <w:color w:val="000000"/>
          <w:szCs w:val="20"/>
          <w:shd w:val="clear" w:color="auto" w:fill="FFFFFF"/>
        </w:rPr>
        <w:t>U.S. Department of Agriculture and U.S. Department of Health and Human Services. (2020). Dietary Guidelines for Americans, 2020-2025. 9</w:t>
      </w:r>
      <w:r w:rsidRPr="00C53690">
        <w:rPr>
          <w:rStyle w:val="normaltextrun"/>
          <w:rFonts w:asciiTheme="minorHAnsi" w:hAnsiTheme="minorHAnsi" w:cstheme="minorHAnsi"/>
          <w:color w:val="000000"/>
          <w:sz w:val="16"/>
          <w:szCs w:val="16"/>
          <w:shd w:val="clear" w:color="auto" w:fill="FFFFFF"/>
          <w:vertAlign w:val="superscript"/>
        </w:rPr>
        <w:t>th</w:t>
      </w:r>
      <w:r w:rsidRPr="00C53690">
        <w:rPr>
          <w:rStyle w:val="normaltextrun"/>
          <w:rFonts w:asciiTheme="minorHAnsi" w:hAnsiTheme="minorHAnsi" w:cstheme="minorHAnsi"/>
          <w:color w:val="000000"/>
          <w:szCs w:val="20"/>
          <w:shd w:val="clear" w:color="auto" w:fill="FFFFFF"/>
        </w:rPr>
        <w:t> edition. (figure 1-10, p 43)</w:t>
      </w:r>
    </w:p>
  </w:endnote>
  <w:endnote w:id="3">
    <w:p w14:paraId="6F628276" w14:textId="77777777" w:rsidR="00A05DB9" w:rsidRPr="00C53690" w:rsidRDefault="00A05DB9" w:rsidP="00AE4B31">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Neuenschwander M, et al. (2019). Role of diet in type 2 diabetes incidence: umbrella review of meta-analyses of prospective observational studies. </w:t>
      </w:r>
      <w:r w:rsidRPr="00C53690">
        <w:rPr>
          <w:rFonts w:asciiTheme="minorHAnsi" w:hAnsiTheme="minorHAnsi" w:cstheme="minorHAnsi"/>
          <w:i/>
          <w:iCs/>
        </w:rPr>
        <w:t>BMJ.</w:t>
      </w:r>
      <w:r w:rsidRPr="00C53690">
        <w:rPr>
          <w:rFonts w:asciiTheme="minorHAnsi" w:hAnsiTheme="minorHAnsi" w:cstheme="minorHAnsi"/>
        </w:rPr>
        <w:t xml:space="preserve"> </w:t>
      </w:r>
    </w:p>
  </w:endnote>
  <w:endnote w:id="4">
    <w:p w14:paraId="2993BCCC" w14:textId="77777777" w:rsidR="00A05DB9" w:rsidRPr="00C53690" w:rsidRDefault="00A05DB9" w:rsidP="00BB43D9">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Malik VS, Hu FB. (2019). Sugar-sweetened beverages and cardiometabolic health: An update of the evidence. Nutrients. 11(8):1840.</w:t>
      </w:r>
    </w:p>
  </w:endnote>
  <w:endnote w:id="5">
    <w:p w14:paraId="624E28DE" w14:textId="77777777" w:rsidR="00A05DB9" w:rsidRPr="00C53690" w:rsidRDefault="00A05DB9" w:rsidP="00BB43D9">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Narain A, et al. (2016). Soft drinks and sweetened beverages and the risk of cardiovascular disease and mortality: a systematic review and meta-analysis. Int J Clin </w:t>
      </w:r>
      <w:r w:rsidRPr="00C53690">
        <w:rPr>
          <w:rFonts w:asciiTheme="minorHAnsi" w:hAnsiTheme="minorHAnsi" w:cstheme="minorHAnsi"/>
        </w:rPr>
        <w:t>Prac. 70(10):791-805.</w:t>
      </w:r>
    </w:p>
  </w:endnote>
  <w:endnote w:id="6">
    <w:p w14:paraId="553447CB" w14:textId="77777777" w:rsidR="00A91F2E" w:rsidRPr="00C53690" w:rsidRDefault="00A91F2E" w:rsidP="00A91F2E">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w:t>
      </w:r>
      <w:r w:rsidRPr="00C53690">
        <w:rPr>
          <w:rStyle w:val="normaltextrun"/>
          <w:rFonts w:asciiTheme="minorHAnsi" w:hAnsiTheme="minorHAnsi" w:cstheme="minorHAnsi"/>
          <w:color w:val="000000"/>
          <w:szCs w:val="20"/>
          <w:shd w:val="clear" w:color="auto" w:fill="FFFFFF"/>
        </w:rPr>
        <w:t>Malik VS, et al. (2013). Sugar-sweetened beverages and weight gain in children and adults: a systematic review and meta-analysis. </w:t>
      </w:r>
      <w:r w:rsidRPr="00C53690">
        <w:rPr>
          <w:rStyle w:val="normaltextrun"/>
          <w:rFonts w:asciiTheme="minorHAnsi" w:hAnsiTheme="minorHAnsi" w:cstheme="minorHAnsi"/>
          <w:i/>
          <w:iCs/>
          <w:color w:val="000000"/>
          <w:szCs w:val="20"/>
          <w:shd w:val="clear" w:color="auto" w:fill="FFFFFF"/>
        </w:rPr>
        <w:t>Am J Clin </w:t>
      </w:r>
      <w:r w:rsidRPr="00C53690">
        <w:rPr>
          <w:rStyle w:val="normaltextrun"/>
          <w:rFonts w:asciiTheme="minorHAnsi" w:hAnsiTheme="minorHAnsi" w:cstheme="minorHAnsi"/>
          <w:i/>
          <w:iCs/>
          <w:color w:val="000000"/>
          <w:szCs w:val="20"/>
          <w:shd w:val="clear" w:color="auto" w:fill="FFFFFF"/>
        </w:rPr>
        <w:t>Nutr</w:t>
      </w:r>
      <w:r w:rsidRPr="00C53690">
        <w:rPr>
          <w:rStyle w:val="normaltextrun"/>
          <w:rFonts w:asciiTheme="minorHAnsi" w:hAnsiTheme="minorHAnsi" w:cstheme="minorHAnsi"/>
          <w:color w:val="000000"/>
          <w:szCs w:val="20"/>
          <w:shd w:val="clear" w:color="auto" w:fill="FFFFFF"/>
        </w:rPr>
        <w:t>. 98:1084-1102.</w:t>
      </w:r>
    </w:p>
  </w:endnote>
  <w:endnote w:id="7">
    <w:p w14:paraId="51B319CD" w14:textId="77777777" w:rsidR="00A91F2E" w:rsidRPr="00C53690" w:rsidRDefault="00A91F2E" w:rsidP="00A91F2E">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w:t>
      </w:r>
      <w:r w:rsidRPr="00C53690">
        <w:rPr>
          <w:rStyle w:val="normaltextrun"/>
          <w:rFonts w:asciiTheme="minorHAnsi" w:hAnsiTheme="minorHAnsi" w:cstheme="minorHAnsi"/>
          <w:color w:val="000000"/>
          <w:szCs w:val="20"/>
          <w:shd w:val="clear" w:color="auto" w:fill="FFFFFF"/>
        </w:rPr>
        <w:t>de Ruyter, JC, Olthof MR, Seidell JC, and Katan MB. (2012). A Trial of Sugar-Free or Sugar-Sweetened Beverages and Body Weight in Children. </w:t>
      </w:r>
      <w:r w:rsidRPr="00C53690">
        <w:rPr>
          <w:rStyle w:val="normaltextrun"/>
          <w:rFonts w:asciiTheme="minorHAnsi" w:hAnsiTheme="minorHAnsi" w:cstheme="minorHAnsi"/>
          <w:i/>
          <w:iCs/>
          <w:color w:val="000000"/>
          <w:szCs w:val="20"/>
          <w:shd w:val="clear" w:color="auto" w:fill="FFFFFF"/>
        </w:rPr>
        <w:t>New England Journal of Medicine </w:t>
      </w:r>
      <w:r w:rsidRPr="00C53690">
        <w:rPr>
          <w:rStyle w:val="normaltextrun"/>
          <w:rFonts w:asciiTheme="minorHAnsi" w:hAnsiTheme="minorHAnsi" w:cstheme="minorHAnsi"/>
          <w:color w:val="000000"/>
          <w:szCs w:val="20"/>
          <w:shd w:val="clear" w:color="auto" w:fill="FFFFFF"/>
        </w:rPr>
        <w:t>367(15): 1397–1406. https://doi.org/10.1056/nejmoa1203034.</w:t>
      </w:r>
    </w:p>
  </w:endnote>
  <w:endnote w:id="8">
    <w:p w14:paraId="02048CB7" w14:textId="46AF126B" w:rsidR="00A05DB9" w:rsidRPr="00C53690" w:rsidRDefault="00A05DB9">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Valenzuela MJ, et al. (2020). Effect of sugar-sweetened beverages on oral health: a systematic review and meta-analysis. </w:t>
      </w:r>
      <w:r w:rsidRPr="00C53690">
        <w:rPr>
          <w:rFonts w:asciiTheme="minorHAnsi" w:hAnsiTheme="minorHAnsi" w:cstheme="minorHAnsi"/>
          <w:i/>
          <w:iCs/>
        </w:rPr>
        <w:t>Eur J Public Health.</w:t>
      </w:r>
      <w:r w:rsidRPr="00C53690">
        <w:rPr>
          <w:rFonts w:asciiTheme="minorHAnsi" w:hAnsiTheme="minorHAnsi" w:cstheme="minorHAnsi"/>
        </w:rPr>
        <w:t xml:space="preserve"> 31(1):122-129.</w:t>
      </w:r>
    </w:p>
  </w:endnote>
  <w:endnote w:id="9">
    <w:p w14:paraId="21330779" w14:textId="3833CEDA" w:rsidR="00A05DB9" w:rsidRPr="00C53690" w:rsidRDefault="00A05DB9">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w:t>
      </w:r>
      <w:r w:rsidRPr="00C53690">
        <w:rPr>
          <w:rStyle w:val="normaltextrun"/>
          <w:rFonts w:asciiTheme="minorHAnsi" w:hAnsiTheme="minorHAnsi" w:cstheme="minorHAnsi"/>
          <w:color w:val="000000"/>
          <w:szCs w:val="20"/>
          <w:shd w:val="clear" w:color="auto" w:fill="FFFFFF"/>
        </w:rPr>
        <w:t>Dai J. (2021). Trends and patterns in sugar-sweetened beverage consumption among children and adults by race and/or ethnicity, 2003-2018. Public Health Nutrition, 24(9):2405–2410. https://doi.org/10.1017/S136898002100158</w:t>
      </w:r>
    </w:p>
  </w:endnote>
  <w:endnote w:id="10">
    <w:p w14:paraId="14D66B37" w14:textId="77777777" w:rsidR="00A05DB9" w:rsidRPr="00C53690" w:rsidRDefault="00A05DB9" w:rsidP="0018404A">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w:t>
      </w:r>
      <w:r w:rsidRPr="00C53690">
        <w:rPr>
          <w:rStyle w:val="normaltextrun"/>
          <w:rFonts w:asciiTheme="minorHAnsi" w:hAnsiTheme="minorHAnsi" w:cstheme="minorHAnsi"/>
          <w:color w:val="000000"/>
          <w:szCs w:val="20"/>
          <w:shd w:val="clear" w:color="auto" w:fill="FFFFFF"/>
        </w:rPr>
        <w:t>U.S. Department of Agriculture and U.S. Department of Health and Human Services. (2020). Dietary Guidelines for Americans, 2020-2025. 9th edition. (</w:t>
      </w:r>
      <w:r w:rsidRPr="00C53690">
        <w:rPr>
          <w:rStyle w:val="normaltextrun"/>
          <w:rFonts w:asciiTheme="minorHAnsi" w:hAnsiTheme="minorHAnsi" w:cstheme="minorHAnsi"/>
          <w:color w:val="000000"/>
          <w:szCs w:val="20"/>
          <w:shd w:val="clear" w:color="auto" w:fill="FFFFFF"/>
        </w:rPr>
        <w:t>figure 1-10, p 43)</w:t>
      </w:r>
    </w:p>
  </w:endnote>
  <w:endnote w:id="11">
    <w:p w14:paraId="7132375F" w14:textId="77777777" w:rsidR="00A05DB9" w:rsidRPr="00C53690" w:rsidRDefault="00A05DB9" w:rsidP="00A05DB9">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de Ruyter JC, et al. A Trial of Sugar-Free or Sugar-Sweetened Beverages and Body Weight in Children. N Engl J Med. 2012;367(15):1397–406</w:t>
      </w:r>
    </w:p>
  </w:endnote>
  <w:endnote w:id="12">
    <w:p w14:paraId="2E8323EF" w14:textId="77777777" w:rsidR="00A05DB9" w:rsidRPr="00C53690" w:rsidRDefault="00A05DB9" w:rsidP="00A05DB9">
      <w:pPr>
        <w:pStyle w:val="EndnoteText"/>
        <w:rPr>
          <w:rFonts w:asciiTheme="minorHAnsi" w:hAnsiTheme="minorHAnsi" w:cstheme="minorHAnsi"/>
        </w:rPr>
      </w:pPr>
      <w:r w:rsidRPr="00C53690">
        <w:rPr>
          <w:rStyle w:val="EndnoteReference"/>
          <w:rFonts w:asciiTheme="minorHAnsi" w:hAnsiTheme="minorHAnsi" w:cstheme="minorHAnsi"/>
        </w:rPr>
        <w:endnoteRef/>
      </w:r>
      <w:r w:rsidRPr="00C53690">
        <w:rPr>
          <w:rFonts w:asciiTheme="minorHAnsi" w:hAnsiTheme="minorHAnsi" w:cstheme="minorHAnsi"/>
        </w:rPr>
        <w:t xml:space="preserve"> Drouin-Chartier JP, et al. (2019). Changes in Consumption of Sugary Beverages and Artificially Sweetened Beverages and Subsequent Risk of Type 2 Diabetes: Results from Three Large Prospective U.S. Cohorts of Women and Men. </w:t>
      </w:r>
      <w:r w:rsidRPr="00C53690">
        <w:rPr>
          <w:rFonts w:asciiTheme="minorHAnsi" w:hAnsiTheme="minorHAnsi" w:cstheme="minorHAnsi"/>
          <w:i/>
          <w:iCs/>
        </w:rPr>
        <w:t xml:space="preserve">Diabetes Care. </w:t>
      </w:r>
    </w:p>
  </w:endnote>
  <w:endnote w:id="13">
    <w:p w14:paraId="78065B5E" w14:textId="77777777" w:rsidR="00A05DB9" w:rsidRDefault="00A05DB9" w:rsidP="00A05DB9">
      <w:pPr>
        <w:pStyle w:val="EndnoteText"/>
      </w:pPr>
      <w:r w:rsidRPr="00C53690">
        <w:rPr>
          <w:rStyle w:val="EndnoteReference"/>
          <w:rFonts w:asciiTheme="minorHAnsi" w:hAnsiTheme="minorHAnsi" w:cstheme="minorHAnsi"/>
        </w:rPr>
        <w:endnoteRef/>
      </w:r>
      <w:r w:rsidRPr="00C53690">
        <w:rPr>
          <w:rFonts w:asciiTheme="minorHAnsi" w:hAnsiTheme="minorHAnsi" w:cstheme="minorHAnsi"/>
        </w:rPr>
        <w:t xml:space="preserve"> Narain A, et al. (2016). Soft drinks and sweetened beverages and the risk of cardiovascular disease and mortality: a systematic review and meta-analysis. Int J Clin </w:t>
      </w:r>
      <w:r w:rsidRPr="00C53690">
        <w:rPr>
          <w:rFonts w:asciiTheme="minorHAnsi" w:hAnsiTheme="minorHAnsi" w:cstheme="minorHAnsi"/>
        </w:rPr>
        <w:t>Prac. 70(10):791-805.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F6C8" w14:textId="77777777" w:rsidR="004B52D6" w:rsidRDefault="004B52D6" w:rsidP="001B1EF7">
      <w:pPr>
        <w:spacing w:after="0" w:line="240" w:lineRule="auto"/>
      </w:pPr>
      <w:r>
        <w:separator/>
      </w:r>
    </w:p>
  </w:footnote>
  <w:footnote w:type="continuationSeparator" w:id="0">
    <w:p w14:paraId="1FFCEC87" w14:textId="77777777" w:rsidR="004B52D6" w:rsidRDefault="004B52D6" w:rsidP="001B1EF7">
      <w:pPr>
        <w:spacing w:after="0" w:line="240" w:lineRule="auto"/>
      </w:pPr>
      <w:r>
        <w:continuationSeparator/>
      </w:r>
    </w:p>
  </w:footnote>
  <w:footnote w:type="continuationNotice" w:id="1">
    <w:p w14:paraId="46A3D1D3" w14:textId="77777777" w:rsidR="004B52D6" w:rsidRDefault="004B52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E11"/>
    <w:multiLevelType w:val="multilevel"/>
    <w:tmpl w:val="76BC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AF2075"/>
    <w:multiLevelType w:val="multilevel"/>
    <w:tmpl w:val="D486B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8258920">
    <w:abstractNumId w:val="0"/>
  </w:num>
  <w:num w:numId="2" w16cid:durableId="81325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0MTYwNTA0NzC3NDBV0lEKTi0uzszPAykwrAUAH62KMywAAAA="/>
  </w:docVars>
  <w:rsids>
    <w:rsidRoot w:val="00AB16A3"/>
    <w:rsid w:val="00017013"/>
    <w:rsid w:val="00026B27"/>
    <w:rsid w:val="00034862"/>
    <w:rsid w:val="00044FA0"/>
    <w:rsid w:val="0006170D"/>
    <w:rsid w:val="00084572"/>
    <w:rsid w:val="000B5842"/>
    <w:rsid w:val="000C2F69"/>
    <w:rsid w:val="000E1FF8"/>
    <w:rsid w:val="000F06B1"/>
    <w:rsid w:val="000F1958"/>
    <w:rsid w:val="000F2B1B"/>
    <w:rsid w:val="000F7385"/>
    <w:rsid w:val="00124E54"/>
    <w:rsid w:val="0018404A"/>
    <w:rsid w:val="00186108"/>
    <w:rsid w:val="001A47BE"/>
    <w:rsid w:val="001B1EF7"/>
    <w:rsid w:val="001E3634"/>
    <w:rsid w:val="00213DAD"/>
    <w:rsid w:val="002332A9"/>
    <w:rsid w:val="002440FD"/>
    <w:rsid w:val="00256A00"/>
    <w:rsid w:val="00280E21"/>
    <w:rsid w:val="002A2FAD"/>
    <w:rsid w:val="002A60F8"/>
    <w:rsid w:val="002E1BAC"/>
    <w:rsid w:val="002F63A9"/>
    <w:rsid w:val="003028E3"/>
    <w:rsid w:val="00305988"/>
    <w:rsid w:val="0031129D"/>
    <w:rsid w:val="00322C90"/>
    <w:rsid w:val="0032651D"/>
    <w:rsid w:val="00332424"/>
    <w:rsid w:val="00346823"/>
    <w:rsid w:val="00360972"/>
    <w:rsid w:val="003B55E3"/>
    <w:rsid w:val="003C42B7"/>
    <w:rsid w:val="003C4C79"/>
    <w:rsid w:val="003E2A1A"/>
    <w:rsid w:val="00412496"/>
    <w:rsid w:val="004133B2"/>
    <w:rsid w:val="004917B2"/>
    <w:rsid w:val="0049483A"/>
    <w:rsid w:val="004B52D6"/>
    <w:rsid w:val="004B5521"/>
    <w:rsid w:val="0053510E"/>
    <w:rsid w:val="00535D82"/>
    <w:rsid w:val="00557FA5"/>
    <w:rsid w:val="00560C4D"/>
    <w:rsid w:val="005B2555"/>
    <w:rsid w:val="005C0CA0"/>
    <w:rsid w:val="005C4DD0"/>
    <w:rsid w:val="006276DB"/>
    <w:rsid w:val="006440FA"/>
    <w:rsid w:val="00661510"/>
    <w:rsid w:val="00692828"/>
    <w:rsid w:val="006976A9"/>
    <w:rsid w:val="006A1DB1"/>
    <w:rsid w:val="006C56F3"/>
    <w:rsid w:val="00700798"/>
    <w:rsid w:val="00712886"/>
    <w:rsid w:val="007534AA"/>
    <w:rsid w:val="007A3286"/>
    <w:rsid w:val="007F7C63"/>
    <w:rsid w:val="00823DCE"/>
    <w:rsid w:val="008241F7"/>
    <w:rsid w:val="00877947"/>
    <w:rsid w:val="008B645D"/>
    <w:rsid w:val="008E3528"/>
    <w:rsid w:val="0094225B"/>
    <w:rsid w:val="009D742B"/>
    <w:rsid w:val="009E3437"/>
    <w:rsid w:val="00A05DB9"/>
    <w:rsid w:val="00A36A8A"/>
    <w:rsid w:val="00A461D1"/>
    <w:rsid w:val="00A91F2E"/>
    <w:rsid w:val="00A939BB"/>
    <w:rsid w:val="00A944B8"/>
    <w:rsid w:val="00AA6724"/>
    <w:rsid w:val="00AB16A3"/>
    <w:rsid w:val="00AC3547"/>
    <w:rsid w:val="00AE4B31"/>
    <w:rsid w:val="00B003A6"/>
    <w:rsid w:val="00B3427B"/>
    <w:rsid w:val="00B536A9"/>
    <w:rsid w:val="00B55B77"/>
    <w:rsid w:val="00B84213"/>
    <w:rsid w:val="00B95109"/>
    <w:rsid w:val="00BA55B7"/>
    <w:rsid w:val="00BB43D9"/>
    <w:rsid w:val="00BB6F72"/>
    <w:rsid w:val="00BB7CE9"/>
    <w:rsid w:val="00BC2654"/>
    <w:rsid w:val="00BD683F"/>
    <w:rsid w:val="00C2045C"/>
    <w:rsid w:val="00C37E9F"/>
    <w:rsid w:val="00C44EA7"/>
    <w:rsid w:val="00C5318B"/>
    <w:rsid w:val="00C53690"/>
    <w:rsid w:val="00CD555C"/>
    <w:rsid w:val="00CD67B1"/>
    <w:rsid w:val="00CF1260"/>
    <w:rsid w:val="00D1061C"/>
    <w:rsid w:val="00D33CEC"/>
    <w:rsid w:val="00D50863"/>
    <w:rsid w:val="00D552E3"/>
    <w:rsid w:val="00D56DE0"/>
    <w:rsid w:val="00D65160"/>
    <w:rsid w:val="00DE2729"/>
    <w:rsid w:val="00E42008"/>
    <w:rsid w:val="00E4436F"/>
    <w:rsid w:val="00E57F02"/>
    <w:rsid w:val="00E728B8"/>
    <w:rsid w:val="00E76E4F"/>
    <w:rsid w:val="00EA186F"/>
    <w:rsid w:val="00ED3C64"/>
    <w:rsid w:val="00EE2CB2"/>
    <w:rsid w:val="00EE7D9F"/>
    <w:rsid w:val="00F10245"/>
    <w:rsid w:val="00F20E24"/>
    <w:rsid w:val="00F51F89"/>
    <w:rsid w:val="00F9734F"/>
    <w:rsid w:val="00FB160D"/>
    <w:rsid w:val="00FB2232"/>
    <w:rsid w:val="00FB3271"/>
    <w:rsid w:val="02ABDF81"/>
    <w:rsid w:val="031532C3"/>
    <w:rsid w:val="05FC1EE7"/>
    <w:rsid w:val="072DA6D2"/>
    <w:rsid w:val="0CCE1289"/>
    <w:rsid w:val="0D1E19C4"/>
    <w:rsid w:val="0D4FA303"/>
    <w:rsid w:val="0DC82E70"/>
    <w:rsid w:val="0FBE8348"/>
    <w:rsid w:val="14058C7C"/>
    <w:rsid w:val="16BAFED1"/>
    <w:rsid w:val="16BBE08F"/>
    <w:rsid w:val="1A7532A7"/>
    <w:rsid w:val="238700D8"/>
    <w:rsid w:val="2622F798"/>
    <w:rsid w:val="26B634FB"/>
    <w:rsid w:val="27BB9286"/>
    <w:rsid w:val="295762E7"/>
    <w:rsid w:val="2AAC02BF"/>
    <w:rsid w:val="2B976FD8"/>
    <w:rsid w:val="2D6B1199"/>
    <w:rsid w:val="2F7141D4"/>
    <w:rsid w:val="3783C47F"/>
    <w:rsid w:val="391F94E0"/>
    <w:rsid w:val="3CD927F5"/>
    <w:rsid w:val="3E74F856"/>
    <w:rsid w:val="3F9D1459"/>
    <w:rsid w:val="4000370A"/>
    <w:rsid w:val="40D39CB1"/>
    <w:rsid w:val="4224C2AC"/>
    <w:rsid w:val="45F77C03"/>
    <w:rsid w:val="564D21CE"/>
    <w:rsid w:val="5BD0A206"/>
    <w:rsid w:val="620850B8"/>
    <w:rsid w:val="64E5BC61"/>
    <w:rsid w:val="67C2E816"/>
    <w:rsid w:val="6A958BFA"/>
    <w:rsid w:val="6C19A37E"/>
    <w:rsid w:val="6E07A629"/>
    <w:rsid w:val="6E4ED62C"/>
    <w:rsid w:val="70E4C274"/>
    <w:rsid w:val="757B547A"/>
    <w:rsid w:val="75B4AF62"/>
    <w:rsid w:val="76741EC5"/>
    <w:rsid w:val="76D40E16"/>
    <w:rsid w:val="78E4C745"/>
    <w:rsid w:val="7C3F1F9A"/>
    <w:rsid w:val="7F22E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753A"/>
  <w15:chartTrackingRefBased/>
  <w15:docId w15:val="{F4104883-176A-46C1-920A-C5436271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6A3"/>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B1EF7"/>
    <w:rPr>
      <w:vertAlign w:val="superscript"/>
    </w:rPr>
  </w:style>
  <w:style w:type="paragraph" w:customStyle="1" w:styleId="paragraph">
    <w:name w:val="paragraph"/>
    <w:basedOn w:val="Normal"/>
    <w:rsid w:val="001B1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B1EF7"/>
  </w:style>
  <w:style w:type="character" w:customStyle="1" w:styleId="eop">
    <w:name w:val="eop"/>
    <w:basedOn w:val="DefaultParagraphFont"/>
    <w:rsid w:val="001B1EF7"/>
  </w:style>
  <w:style w:type="paragraph" w:styleId="FootnoteText">
    <w:name w:val="footnote text"/>
    <w:basedOn w:val="Normal"/>
    <w:link w:val="FootnoteTextChar"/>
    <w:uiPriority w:val="99"/>
    <w:semiHidden/>
    <w:unhideWhenUsed/>
    <w:rsid w:val="001B1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EF7"/>
    <w:rPr>
      <w:sz w:val="20"/>
      <w:szCs w:val="20"/>
    </w:rPr>
  </w:style>
  <w:style w:type="character" w:styleId="CommentReference">
    <w:name w:val="annotation reference"/>
    <w:basedOn w:val="DefaultParagraphFont"/>
    <w:uiPriority w:val="99"/>
    <w:semiHidden/>
    <w:unhideWhenUsed/>
    <w:rsid w:val="0032651D"/>
    <w:rPr>
      <w:sz w:val="16"/>
      <w:szCs w:val="16"/>
    </w:rPr>
  </w:style>
  <w:style w:type="paragraph" w:styleId="CommentText">
    <w:name w:val="annotation text"/>
    <w:basedOn w:val="Normal"/>
    <w:link w:val="CommentTextChar"/>
    <w:uiPriority w:val="99"/>
    <w:unhideWhenUsed/>
    <w:rsid w:val="0032651D"/>
    <w:pPr>
      <w:spacing w:line="240" w:lineRule="auto"/>
    </w:pPr>
    <w:rPr>
      <w:sz w:val="20"/>
      <w:szCs w:val="20"/>
    </w:rPr>
  </w:style>
  <w:style w:type="character" w:customStyle="1" w:styleId="CommentTextChar">
    <w:name w:val="Comment Text Char"/>
    <w:basedOn w:val="DefaultParagraphFont"/>
    <w:link w:val="CommentText"/>
    <w:uiPriority w:val="99"/>
    <w:rsid w:val="0032651D"/>
    <w:rPr>
      <w:sz w:val="20"/>
      <w:szCs w:val="20"/>
    </w:rPr>
  </w:style>
  <w:style w:type="character" w:styleId="Hyperlink">
    <w:name w:val="Hyperlink"/>
    <w:basedOn w:val="DefaultParagraphFont"/>
    <w:uiPriority w:val="99"/>
    <w:unhideWhenUsed/>
    <w:rsid w:val="0034682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C2654"/>
    <w:rPr>
      <w:b/>
      <w:bCs/>
    </w:rPr>
  </w:style>
  <w:style w:type="character" w:customStyle="1" w:styleId="CommentSubjectChar">
    <w:name w:val="Comment Subject Char"/>
    <w:basedOn w:val="CommentTextChar"/>
    <w:link w:val="CommentSubject"/>
    <w:uiPriority w:val="99"/>
    <w:semiHidden/>
    <w:rsid w:val="00BC2654"/>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6276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76DB"/>
  </w:style>
  <w:style w:type="paragraph" w:styleId="Footer">
    <w:name w:val="footer"/>
    <w:basedOn w:val="Normal"/>
    <w:link w:val="FooterChar"/>
    <w:uiPriority w:val="99"/>
    <w:semiHidden/>
    <w:unhideWhenUsed/>
    <w:rsid w:val="006276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76DB"/>
  </w:style>
  <w:style w:type="paragraph" w:styleId="EndnoteText">
    <w:name w:val="endnote text"/>
    <w:basedOn w:val="Normal"/>
    <w:link w:val="EndnoteTextChar"/>
    <w:autoRedefine/>
    <w:rsid w:val="00BB43D9"/>
    <w:pPr>
      <w:tabs>
        <w:tab w:val="num" w:pos="720"/>
      </w:tabs>
      <w:spacing w:after="0" w:line="240" w:lineRule="auto"/>
      <w:ind w:left="720" w:hanging="720"/>
    </w:pPr>
    <w:rPr>
      <w:rFonts w:ascii="Times New Roman" w:hAnsi="Times New Roman" w:cs="Times New Roman (Body CS)"/>
      <w:sz w:val="20"/>
      <w:szCs w:val="24"/>
    </w:rPr>
  </w:style>
  <w:style w:type="character" w:customStyle="1" w:styleId="EndnoteTextChar">
    <w:name w:val="Endnote Text Char"/>
    <w:basedOn w:val="DefaultParagraphFont"/>
    <w:link w:val="EndnoteText"/>
    <w:rsid w:val="00BB43D9"/>
    <w:rPr>
      <w:rFonts w:ascii="Times New Roman" w:hAnsi="Times New Roman" w:cs="Times New Roman (Body CS)"/>
      <w:sz w:val="20"/>
      <w:szCs w:val="24"/>
    </w:rPr>
  </w:style>
  <w:style w:type="character" w:styleId="EndnoteReference">
    <w:name w:val="endnote reference"/>
    <w:basedOn w:val="DefaultParagraphFont"/>
    <w:uiPriority w:val="99"/>
    <w:unhideWhenUsed/>
    <w:rsid w:val="00BB43D9"/>
    <w:rPr>
      <w:vertAlign w:val="superscript"/>
    </w:rPr>
  </w:style>
  <w:style w:type="paragraph" w:customStyle="1" w:styleId="AvenirDate">
    <w:name w:val="Avenir Date"/>
    <w:basedOn w:val="Normal"/>
    <w:autoRedefine/>
    <w:qFormat/>
    <w:rsid w:val="00256A00"/>
    <w:pPr>
      <w:spacing w:after="0" w:line="240" w:lineRule="auto"/>
      <w:contextualSpacing/>
      <w:jc w:val="right"/>
    </w:pPr>
    <w:rPr>
      <w:rFonts w:ascii="Avenir LT Std 65 Medium" w:hAnsi="Avenir LT Std 65 Medium" w:cs="Times New Roman"/>
      <w:b/>
      <w:color w:val="808080" w:themeColor="background1" w:themeShade="80"/>
      <w:sz w:val="20"/>
      <w:szCs w:val="20"/>
    </w:rPr>
  </w:style>
  <w:style w:type="character" w:styleId="UnresolvedMention">
    <w:name w:val="Unresolved Mention"/>
    <w:basedOn w:val="DefaultParagraphFont"/>
    <w:uiPriority w:val="99"/>
    <w:semiHidden/>
    <w:unhideWhenUsed/>
    <w:rsid w:val="0053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inet.org/resource/sugar-sweetened-beverages-and-health-camp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licy@cspi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813D-6944-4786-B536-53359570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4734</Characters>
  <Application>Microsoft Office Word</Application>
  <DocSecurity>0</DocSecurity>
  <Lines>78</Lines>
  <Paragraphs>20</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Silverman</dc:creator>
  <cp:keywords/>
  <dc:description/>
  <cp:lastModifiedBy>Tia Schwab</cp:lastModifiedBy>
  <cp:revision>4</cp:revision>
  <dcterms:created xsi:type="dcterms:W3CDTF">2022-05-12T18:35:00Z</dcterms:created>
  <dcterms:modified xsi:type="dcterms:W3CDTF">2022-05-12T18:36:00Z</dcterms:modified>
</cp:coreProperties>
</file>